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E7B" w:rsidRPr="00A0098D" w:rsidRDefault="00CF5FF7" w:rsidP="00E62E7B">
      <w:pPr>
        <w:rPr>
          <w:rFonts w:ascii="Calibri" w:hAnsi="Calibri"/>
          <w:vanish/>
        </w:rPr>
      </w:pPr>
      <w:bookmarkStart w:id="0" w:name="_GoBack"/>
      <w:bookmarkEnd w:id="0"/>
      <w:r>
        <w:rPr>
          <w:noProof/>
        </w:rPr>
        <w:drawing>
          <wp:anchor distT="0" distB="0" distL="114300" distR="114300" simplePos="0" relativeHeight="251654656" behindDoc="0" locked="0" layoutInCell="1" allowOverlap="1" wp14:anchorId="0029CD8B" wp14:editId="5EBEFD00">
            <wp:simplePos x="0" y="0"/>
            <wp:positionH relativeFrom="margin">
              <wp:posOffset>1102360</wp:posOffset>
            </wp:positionH>
            <wp:positionV relativeFrom="margin">
              <wp:posOffset>-364490</wp:posOffset>
            </wp:positionV>
            <wp:extent cx="3900170" cy="361315"/>
            <wp:effectExtent l="0" t="0" r="0" b="0"/>
            <wp:wrapSquare wrapText="bothSides"/>
            <wp:docPr id="18" name="Immagine 14" descr="PGR nuovo logo 2017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PGR nuovo logo 2017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017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541" w:rsidRDefault="005D2541" w:rsidP="00D22549">
      <w:pPr>
        <w:jc w:val="both"/>
        <w:rPr>
          <w:rFonts w:ascii="Calibri" w:hAnsi="Calibri" w:cs="Arial"/>
          <w:bCs/>
          <w:sz w:val="24"/>
          <w:szCs w:val="24"/>
        </w:rPr>
      </w:pPr>
    </w:p>
    <w:p w:rsidR="005D2541" w:rsidRDefault="005D2541" w:rsidP="00D22549">
      <w:pPr>
        <w:jc w:val="both"/>
        <w:rPr>
          <w:rFonts w:ascii="Calibri" w:hAnsi="Calibri" w:cs="Arial"/>
          <w:bCs/>
          <w:sz w:val="24"/>
          <w:szCs w:val="24"/>
        </w:rPr>
      </w:pPr>
    </w:p>
    <w:p w:rsidR="00D22549" w:rsidRDefault="005D2541" w:rsidP="00D22549">
      <w:pPr>
        <w:spacing w:line="276" w:lineRule="auto"/>
        <w:jc w:val="both"/>
        <w:rPr>
          <w:rFonts w:ascii="Arial" w:hAnsi="Arial" w:cs="Arial"/>
          <w:b/>
          <w:sz w:val="22"/>
          <w:szCs w:val="22"/>
          <w:u w:val="single"/>
        </w:rPr>
      </w:pPr>
      <w:r w:rsidRPr="00957D90">
        <w:rPr>
          <w:rFonts w:ascii="Arial" w:hAnsi="Arial" w:cs="Arial"/>
          <w:b/>
          <w:sz w:val="22"/>
          <w:szCs w:val="22"/>
          <w:u w:val="single"/>
        </w:rPr>
        <w:t>COMUNICATO STAMPA</w:t>
      </w:r>
    </w:p>
    <w:p w:rsidR="00F5705E" w:rsidRDefault="00F5705E" w:rsidP="00F5705E">
      <w:pPr>
        <w:pStyle w:val="Default"/>
        <w:jc w:val="both"/>
        <w:rPr>
          <w:b/>
          <w:bCs/>
          <w:sz w:val="20"/>
          <w:szCs w:val="20"/>
        </w:rPr>
      </w:pPr>
    </w:p>
    <w:p w:rsidR="00F5705E" w:rsidRPr="001F73C5" w:rsidRDefault="00F5705E" w:rsidP="00F5705E">
      <w:pPr>
        <w:pStyle w:val="Default"/>
        <w:jc w:val="both"/>
        <w:rPr>
          <w:rFonts w:eastAsia="Times New Roman"/>
          <w:b/>
          <w:bCs/>
          <w:color w:val="auto"/>
          <w:sz w:val="22"/>
          <w:szCs w:val="22"/>
          <w:lang w:eastAsia="it-IT"/>
        </w:rPr>
      </w:pPr>
      <w:r w:rsidRPr="001F73C5">
        <w:rPr>
          <w:rFonts w:eastAsia="Times New Roman"/>
          <w:b/>
          <w:bCs/>
          <w:color w:val="auto"/>
          <w:sz w:val="22"/>
          <w:szCs w:val="22"/>
          <w:lang w:eastAsia="it-IT"/>
        </w:rPr>
        <w:t>Panariagroup ancora in perdita, ma con Fatturato e Margine Operativo Lordo in crescita.</w:t>
      </w:r>
    </w:p>
    <w:p w:rsidR="000C3574" w:rsidRDefault="000C3574" w:rsidP="00D22549">
      <w:pPr>
        <w:spacing w:line="276" w:lineRule="auto"/>
        <w:jc w:val="both"/>
        <w:rPr>
          <w:rFonts w:ascii="Arial" w:hAnsi="Arial" w:cs="Arial"/>
          <w:b/>
          <w:bCs/>
          <w:sz w:val="22"/>
          <w:szCs w:val="22"/>
          <w:u w:val="single"/>
        </w:rPr>
      </w:pPr>
    </w:p>
    <w:p w:rsidR="001F73C5" w:rsidRPr="00B1137E" w:rsidRDefault="001F73C5" w:rsidP="001F73C5">
      <w:pPr>
        <w:pStyle w:val="Default"/>
        <w:jc w:val="both"/>
        <w:rPr>
          <w:bCs/>
          <w:sz w:val="20"/>
          <w:szCs w:val="20"/>
        </w:rPr>
      </w:pPr>
      <w:r>
        <w:rPr>
          <w:bCs/>
          <w:sz w:val="20"/>
          <w:szCs w:val="20"/>
        </w:rPr>
        <w:t>I</w:t>
      </w:r>
      <w:r w:rsidRPr="00B1137E">
        <w:rPr>
          <w:bCs/>
          <w:sz w:val="20"/>
          <w:szCs w:val="20"/>
        </w:rPr>
        <w:t xml:space="preserve">l Consiglio di Amministrazione di Panariagroup Industrie Ceramiche S.p.A. </w:t>
      </w:r>
      <w:r>
        <w:rPr>
          <w:bCs/>
          <w:sz w:val="20"/>
          <w:szCs w:val="20"/>
        </w:rPr>
        <w:t xml:space="preserve">ha </w:t>
      </w:r>
      <w:r w:rsidRPr="00B1137E">
        <w:rPr>
          <w:bCs/>
          <w:sz w:val="20"/>
          <w:szCs w:val="20"/>
        </w:rPr>
        <w:t>approva</w:t>
      </w:r>
      <w:r>
        <w:rPr>
          <w:bCs/>
          <w:sz w:val="20"/>
          <w:szCs w:val="20"/>
        </w:rPr>
        <w:t>to</w:t>
      </w:r>
      <w:r w:rsidRPr="00B1137E">
        <w:rPr>
          <w:bCs/>
          <w:sz w:val="20"/>
          <w:szCs w:val="20"/>
        </w:rPr>
        <w:t> il</w:t>
      </w:r>
      <w:r>
        <w:rPr>
          <w:bCs/>
          <w:sz w:val="20"/>
          <w:szCs w:val="20"/>
        </w:rPr>
        <w:t xml:space="preserve"> Progetto di bilancio al 31 dicembre 2019</w:t>
      </w:r>
      <w:r w:rsidR="00D66915">
        <w:rPr>
          <w:bCs/>
          <w:sz w:val="20"/>
          <w:szCs w:val="20"/>
        </w:rPr>
        <w:t>:</w:t>
      </w:r>
    </w:p>
    <w:p w:rsidR="001F73C5" w:rsidRPr="00957D90" w:rsidRDefault="001F73C5" w:rsidP="00D22549">
      <w:pPr>
        <w:spacing w:line="276" w:lineRule="auto"/>
        <w:jc w:val="both"/>
        <w:rPr>
          <w:rFonts w:ascii="Arial" w:hAnsi="Arial" w:cs="Arial"/>
          <w:b/>
          <w:bCs/>
          <w:sz w:val="22"/>
          <w:szCs w:val="22"/>
          <w:u w:val="single"/>
        </w:rPr>
      </w:pPr>
    </w:p>
    <w:p w:rsidR="00D22549" w:rsidRPr="001F73C5" w:rsidRDefault="00D22549" w:rsidP="00D22549">
      <w:pPr>
        <w:numPr>
          <w:ilvl w:val="0"/>
          <w:numId w:val="42"/>
        </w:numPr>
        <w:jc w:val="both"/>
        <w:rPr>
          <w:rFonts w:ascii="Arial" w:hAnsi="Arial" w:cs="Arial"/>
          <w:b/>
          <w:bCs/>
        </w:rPr>
      </w:pPr>
      <w:r w:rsidRPr="001F73C5">
        <w:rPr>
          <w:rFonts w:ascii="Arial" w:hAnsi="Arial" w:cs="Arial"/>
          <w:b/>
          <w:bCs/>
        </w:rPr>
        <w:t xml:space="preserve">Ricavi netti </w:t>
      </w:r>
      <w:r w:rsidR="005D2541" w:rsidRPr="001F73C5">
        <w:rPr>
          <w:rFonts w:ascii="Arial" w:hAnsi="Arial" w:cs="Arial"/>
          <w:b/>
          <w:bCs/>
        </w:rPr>
        <w:t>consolidati</w:t>
      </w:r>
      <w:r w:rsidRPr="001F73C5">
        <w:rPr>
          <w:rFonts w:ascii="Arial" w:hAnsi="Arial" w:cs="Arial"/>
          <w:b/>
          <w:bCs/>
        </w:rPr>
        <w:t xml:space="preserve"> pari a 3</w:t>
      </w:r>
      <w:r w:rsidR="00ED3053" w:rsidRPr="001F73C5">
        <w:rPr>
          <w:rFonts w:ascii="Arial" w:hAnsi="Arial" w:cs="Arial"/>
          <w:b/>
          <w:bCs/>
        </w:rPr>
        <w:t>8</w:t>
      </w:r>
      <w:r w:rsidR="00B82373" w:rsidRPr="001F73C5">
        <w:rPr>
          <w:rFonts w:ascii="Arial" w:hAnsi="Arial" w:cs="Arial"/>
          <w:b/>
          <w:bCs/>
        </w:rPr>
        <w:t>2</w:t>
      </w:r>
      <w:r w:rsidRPr="001F73C5">
        <w:rPr>
          <w:rFonts w:ascii="Arial" w:hAnsi="Arial" w:cs="Arial"/>
          <w:b/>
          <w:bCs/>
        </w:rPr>
        <w:t>,</w:t>
      </w:r>
      <w:r w:rsidR="00D66915">
        <w:rPr>
          <w:rFonts w:ascii="Arial" w:hAnsi="Arial" w:cs="Arial"/>
          <w:b/>
          <w:bCs/>
        </w:rPr>
        <w:t>0</w:t>
      </w:r>
      <w:r w:rsidRPr="001F73C5">
        <w:rPr>
          <w:rFonts w:ascii="Arial" w:hAnsi="Arial" w:cs="Arial"/>
          <w:b/>
          <w:bCs/>
        </w:rPr>
        <w:t xml:space="preserve"> milioni di Euro (3</w:t>
      </w:r>
      <w:r w:rsidR="00ED3053" w:rsidRPr="001F73C5">
        <w:rPr>
          <w:rFonts w:ascii="Arial" w:hAnsi="Arial" w:cs="Arial"/>
          <w:b/>
          <w:bCs/>
        </w:rPr>
        <w:t>71</w:t>
      </w:r>
      <w:r w:rsidRPr="001F73C5">
        <w:rPr>
          <w:rFonts w:ascii="Arial" w:hAnsi="Arial" w:cs="Arial"/>
          <w:b/>
          <w:bCs/>
        </w:rPr>
        <w:t>,</w:t>
      </w:r>
      <w:r w:rsidR="00ED3053" w:rsidRPr="001F73C5">
        <w:rPr>
          <w:rFonts w:ascii="Arial" w:hAnsi="Arial" w:cs="Arial"/>
          <w:b/>
          <w:bCs/>
        </w:rPr>
        <w:t>0</w:t>
      </w:r>
      <w:r w:rsidRPr="001F73C5">
        <w:rPr>
          <w:rFonts w:ascii="Arial" w:hAnsi="Arial" w:cs="Arial"/>
          <w:b/>
          <w:bCs/>
        </w:rPr>
        <w:t xml:space="preserve"> </w:t>
      </w:r>
      <w:r w:rsidR="00FC5D66" w:rsidRPr="001F73C5">
        <w:rPr>
          <w:rFonts w:ascii="Arial" w:hAnsi="Arial" w:cs="Arial"/>
          <w:b/>
          <w:bCs/>
        </w:rPr>
        <w:t xml:space="preserve">milioni di euro al 31 dicembre </w:t>
      </w:r>
      <w:r w:rsidRPr="001F73C5">
        <w:rPr>
          <w:rFonts w:ascii="Arial" w:hAnsi="Arial" w:cs="Arial"/>
          <w:b/>
          <w:bCs/>
        </w:rPr>
        <w:t>nel 201</w:t>
      </w:r>
      <w:r w:rsidR="00ED3053" w:rsidRPr="001F73C5">
        <w:rPr>
          <w:rFonts w:ascii="Arial" w:hAnsi="Arial" w:cs="Arial"/>
          <w:b/>
          <w:bCs/>
        </w:rPr>
        <w:t>8</w:t>
      </w:r>
      <w:r w:rsidRPr="001F73C5">
        <w:rPr>
          <w:rFonts w:ascii="Arial" w:hAnsi="Arial" w:cs="Arial"/>
          <w:b/>
          <w:bCs/>
        </w:rPr>
        <w:t xml:space="preserve">, con un </w:t>
      </w:r>
      <w:r w:rsidR="00ED3053" w:rsidRPr="001F73C5">
        <w:rPr>
          <w:rFonts w:ascii="Arial" w:hAnsi="Arial" w:cs="Arial"/>
          <w:b/>
          <w:bCs/>
        </w:rPr>
        <w:t>in</w:t>
      </w:r>
      <w:r w:rsidRPr="001F73C5">
        <w:rPr>
          <w:rFonts w:ascii="Arial" w:hAnsi="Arial" w:cs="Arial"/>
          <w:b/>
          <w:bCs/>
        </w:rPr>
        <w:t xml:space="preserve">cremento del </w:t>
      </w:r>
      <w:r w:rsidR="00B82373" w:rsidRPr="001F73C5">
        <w:rPr>
          <w:rFonts w:ascii="Arial" w:hAnsi="Arial" w:cs="Arial"/>
          <w:b/>
          <w:bCs/>
        </w:rPr>
        <w:t>3</w:t>
      </w:r>
      <w:r w:rsidRPr="001F73C5">
        <w:rPr>
          <w:rFonts w:ascii="Arial" w:hAnsi="Arial" w:cs="Arial"/>
          <w:b/>
          <w:bCs/>
        </w:rPr>
        <w:t>,</w:t>
      </w:r>
      <w:r w:rsidR="00B82373" w:rsidRPr="001F73C5">
        <w:rPr>
          <w:rFonts w:ascii="Arial" w:hAnsi="Arial" w:cs="Arial"/>
          <w:b/>
          <w:bCs/>
        </w:rPr>
        <w:t>0</w:t>
      </w:r>
      <w:r w:rsidRPr="001F73C5">
        <w:rPr>
          <w:rFonts w:ascii="Arial" w:hAnsi="Arial" w:cs="Arial"/>
          <w:b/>
          <w:bCs/>
        </w:rPr>
        <w:t>%).</w:t>
      </w:r>
    </w:p>
    <w:p w:rsidR="00876964" w:rsidRPr="001F73C5" w:rsidRDefault="00876964" w:rsidP="00876964">
      <w:pPr>
        <w:ind w:left="720"/>
        <w:jc w:val="both"/>
        <w:rPr>
          <w:rFonts w:ascii="Arial" w:hAnsi="Arial" w:cs="Arial"/>
          <w:b/>
          <w:bCs/>
        </w:rPr>
      </w:pPr>
    </w:p>
    <w:p w:rsidR="00D22549" w:rsidRPr="001F73C5" w:rsidRDefault="00D22549" w:rsidP="00D22549">
      <w:pPr>
        <w:numPr>
          <w:ilvl w:val="0"/>
          <w:numId w:val="42"/>
        </w:numPr>
        <w:jc w:val="both"/>
        <w:rPr>
          <w:rFonts w:ascii="Arial" w:hAnsi="Arial" w:cs="Arial"/>
          <w:b/>
          <w:bCs/>
        </w:rPr>
      </w:pPr>
      <w:r w:rsidRPr="001F73C5">
        <w:rPr>
          <w:rFonts w:ascii="Arial" w:hAnsi="Arial" w:cs="Arial"/>
          <w:b/>
          <w:bCs/>
        </w:rPr>
        <w:t xml:space="preserve">Margine Operativo Lordo </w:t>
      </w:r>
      <w:r w:rsidR="00957D90" w:rsidRPr="001F73C5">
        <w:rPr>
          <w:rFonts w:ascii="Arial" w:hAnsi="Arial" w:cs="Arial"/>
          <w:b/>
          <w:bCs/>
        </w:rPr>
        <w:t>a</w:t>
      </w:r>
      <w:r w:rsidRPr="001F73C5">
        <w:rPr>
          <w:rFonts w:ascii="Arial" w:hAnsi="Arial" w:cs="Arial"/>
          <w:b/>
          <w:bCs/>
        </w:rPr>
        <w:t xml:space="preserve"> </w:t>
      </w:r>
      <w:r w:rsidR="00ED3053" w:rsidRPr="001F73C5">
        <w:rPr>
          <w:rFonts w:ascii="Arial" w:hAnsi="Arial" w:cs="Arial"/>
          <w:b/>
          <w:bCs/>
        </w:rPr>
        <w:t>32</w:t>
      </w:r>
      <w:r w:rsidRPr="001F73C5">
        <w:rPr>
          <w:rFonts w:ascii="Arial" w:hAnsi="Arial" w:cs="Arial"/>
          <w:b/>
          <w:bCs/>
        </w:rPr>
        <w:t>,</w:t>
      </w:r>
      <w:r w:rsidR="00D66915">
        <w:rPr>
          <w:rFonts w:ascii="Arial" w:hAnsi="Arial" w:cs="Arial"/>
          <w:b/>
          <w:bCs/>
        </w:rPr>
        <w:t>4</w:t>
      </w:r>
      <w:r w:rsidRPr="001F73C5">
        <w:rPr>
          <w:rFonts w:ascii="Arial" w:hAnsi="Arial" w:cs="Arial"/>
          <w:b/>
          <w:bCs/>
        </w:rPr>
        <w:t xml:space="preserve"> milioni di Euro (</w:t>
      </w:r>
      <w:r w:rsidR="00ED3053" w:rsidRPr="001F73C5">
        <w:rPr>
          <w:rFonts w:ascii="Arial" w:hAnsi="Arial" w:cs="Arial"/>
          <w:b/>
          <w:bCs/>
        </w:rPr>
        <w:t>31</w:t>
      </w:r>
      <w:r w:rsidRPr="001F73C5">
        <w:rPr>
          <w:rFonts w:ascii="Arial" w:hAnsi="Arial" w:cs="Arial"/>
          <w:b/>
          <w:bCs/>
        </w:rPr>
        <w:t>,</w:t>
      </w:r>
      <w:r w:rsidR="00ED3053" w:rsidRPr="001F73C5">
        <w:rPr>
          <w:rFonts w:ascii="Arial" w:hAnsi="Arial" w:cs="Arial"/>
          <w:b/>
          <w:bCs/>
        </w:rPr>
        <w:t>7</w:t>
      </w:r>
      <w:r w:rsidRPr="001F73C5">
        <w:rPr>
          <w:rFonts w:ascii="Arial" w:hAnsi="Arial" w:cs="Arial"/>
          <w:b/>
          <w:bCs/>
        </w:rPr>
        <w:t xml:space="preserve"> milioni di Euro </w:t>
      </w:r>
      <w:r w:rsidR="00FC5D66" w:rsidRPr="001F73C5">
        <w:rPr>
          <w:rFonts w:ascii="Arial" w:hAnsi="Arial" w:cs="Arial"/>
          <w:b/>
          <w:bCs/>
        </w:rPr>
        <w:t xml:space="preserve">al 31 dicembre </w:t>
      </w:r>
      <w:r w:rsidRPr="001F73C5">
        <w:rPr>
          <w:rFonts w:ascii="Arial" w:hAnsi="Arial" w:cs="Arial"/>
          <w:b/>
          <w:bCs/>
        </w:rPr>
        <w:t>201</w:t>
      </w:r>
      <w:r w:rsidR="00ED3053" w:rsidRPr="001F73C5">
        <w:rPr>
          <w:rFonts w:ascii="Arial" w:hAnsi="Arial" w:cs="Arial"/>
          <w:b/>
          <w:bCs/>
        </w:rPr>
        <w:t>8</w:t>
      </w:r>
      <w:r w:rsidR="002207EB" w:rsidRPr="001F73C5">
        <w:rPr>
          <w:rFonts w:ascii="Arial" w:hAnsi="Arial" w:cs="Arial"/>
          <w:b/>
          <w:bCs/>
        </w:rPr>
        <w:t xml:space="preserve">, </w:t>
      </w:r>
      <w:r w:rsidR="00876964" w:rsidRPr="001F73C5">
        <w:rPr>
          <w:rFonts w:ascii="Arial" w:hAnsi="Arial" w:cs="Arial"/>
          <w:b/>
          <w:bCs/>
        </w:rPr>
        <w:t>+2,</w:t>
      </w:r>
      <w:r w:rsidR="00D66915">
        <w:rPr>
          <w:rFonts w:ascii="Arial" w:hAnsi="Arial" w:cs="Arial"/>
          <w:b/>
          <w:bCs/>
        </w:rPr>
        <w:t>2</w:t>
      </w:r>
      <w:r w:rsidR="00876964" w:rsidRPr="001F73C5">
        <w:rPr>
          <w:rFonts w:ascii="Arial" w:hAnsi="Arial" w:cs="Arial"/>
          <w:b/>
          <w:bCs/>
        </w:rPr>
        <w:t>%</w:t>
      </w:r>
      <w:r w:rsidR="002207EB" w:rsidRPr="001F73C5">
        <w:rPr>
          <w:rFonts w:ascii="Arial" w:hAnsi="Arial" w:cs="Arial"/>
          <w:b/>
          <w:bCs/>
        </w:rPr>
        <w:t>).</w:t>
      </w:r>
    </w:p>
    <w:p w:rsidR="00876964" w:rsidRPr="001F73C5" w:rsidRDefault="00876964" w:rsidP="00876964">
      <w:pPr>
        <w:jc w:val="both"/>
        <w:rPr>
          <w:rFonts w:ascii="Arial" w:hAnsi="Arial" w:cs="Arial"/>
          <w:b/>
          <w:bCs/>
        </w:rPr>
      </w:pPr>
    </w:p>
    <w:p w:rsidR="00FC5D66" w:rsidRPr="001F73C5" w:rsidRDefault="00FC5D66" w:rsidP="00D22549">
      <w:pPr>
        <w:numPr>
          <w:ilvl w:val="0"/>
          <w:numId w:val="42"/>
        </w:numPr>
        <w:jc w:val="both"/>
        <w:rPr>
          <w:rFonts w:ascii="Arial" w:hAnsi="Arial" w:cs="Arial"/>
          <w:b/>
          <w:bCs/>
        </w:rPr>
      </w:pPr>
      <w:r w:rsidRPr="001F73C5">
        <w:rPr>
          <w:rFonts w:ascii="Arial" w:hAnsi="Arial" w:cs="Arial"/>
          <w:b/>
          <w:bCs/>
        </w:rPr>
        <w:t xml:space="preserve">Perdita Netta consolidata </w:t>
      </w:r>
      <w:r w:rsidR="00B06687" w:rsidRPr="001F73C5">
        <w:rPr>
          <w:rFonts w:ascii="Arial" w:hAnsi="Arial" w:cs="Arial"/>
          <w:b/>
          <w:bCs/>
        </w:rPr>
        <w:t>pari a -6,</w:t>
      </w:r>
      <w:r w:rsidR="00D66915">
        <w:rPr>
          <w:rFonts w:ascii="Arial" w:hAnsi="Arial" w:cs="Arial"/>
          <w:b/>
          <w:bCs/>
        </w:rPr>
        <w:t>4</w:t>
      </w:r>
      <w:r w:rsidR="00B06687" w:rsidRPr="001F73C5">
        <w:rPr>
          <w:rFonts w:ascii="Arial" w:hAnsi="Arial" w:cs="Arial"/>
          <w:b/>
          <w:bCs/>
        </w:rPr>
        <w:t xml:space="preserve"> milioni di euro (-5</w:t>
      </w:r>
      <w:r w:rsidR="00D66915">
        <w:rPr>
          <w:rFonts w:ascii="Arial" w:hAnsi="Arial" w:cs="Arial"/>
          <w:b/>
          <w:bCs/>
        </w:rPr>
        <w:t>,1</w:t>
      </w:r>
      <w:r w:rsidR="00B06687" w:rsidRPr="001F73C5">
        <w:rPr>
          <w:rFonts w:ascii="Arial" w:hAnsi="Arial" w:cs="Arial"/>
          <w:b/>
          <w:bCs/>
        </w:rPr>
        <w:t xml:space="preserve"> milioni di euro al 31 dicembre 2018)</w:t>
      </w:r>
    </w:p>
    <w:p w:rsidR="00D22549" w:rsidRPr="00957D90" w:rsidRDefault="00D22549" w:rsidP="00D22549">
      <w:pPr>
        <w:rPr>
          <w:rFonts w:ascii="Arial" w:hAnsi="Arial" w:cs="Arial"/>
        </w:rPr>
      </w:pPr>
    </w:p>
    <w:p w:rsidR="00F35E4A" w:rsidRDefault="005937A7" w:rsidP="0026213D">
      <w:pPr>
        <w:jc w:val="both"/>
        <w:rPr>
          <w:rFonts w:ascii="Arial" w:hAnsi="Arial" w:cs="Arial"/>
        </w:rPr>
      </w:pPr>
      <w:r w:rsidRPr="00957D90">
        <w:rPr>
          <w:rFonts w:ascii="Arial" w:hAnsi="Arial" w:cs="Arial"/>
        </w:rPr>
        <w:t>Il Consiglio di Amministrazione di Panariagroup Industrie Ceramiche S.p.A., Gruppo attivo nella produzione e distribuzione di materiale ceramico per pavimenti e rivestimenti di fascia alta e lusso, ha approvato il progetto di bilancio al 31 dicembre 2019 redatta secondo i principi contabili internazionali (IFRS)</w:t>
      </w:r>
    </w:p>
    <w:p w:rsidR="000C3574" w:rsidRDefault="000C3574" w:rsidP="0026213D">
      <w:pPr>
        <w:jc w:val="both"/>
        <w:rPr>
          <w:rFonts w:ascii="Arial" w:hAnsi="Arial" w:cs="Arial"/>
        </w:rPr>
      </w:pPr>
    </w:p>
    <w:p w:rsidR="000C3574" w:rsidRPr="00C57CA7" w:rsidRDefault="000C3574" w:rsidP="000C3574">
      <w:pPr>
        <w:jc w:val="both"/>
        <w:rPr>
          <w:rFonts w:ascii="Arial" w:hAnsi="Arial" w:cs="Arial"/>
        </w:rPr>
      </w:pPr>
      <w:r w:rsidRPr="00C57CA7">
        <w:rPr>
          <w:rFonts w:ascii="Arial" w:hAnsi="Arial" w:cs="Arial"/>
        </w:rPr>
        <w:t>Contestualmente Panariagroup ha provveduto anche ad approvare la propria quarta Dichiarazione Non Finanziaria, relativa anch’essa all’esercizio 2019. Il Bilancio di Sostenibilità anche per quest’anno ha riscontrato il raggiungimento di numerosi obiettivi e la conferma di importanti parametri e iniziative in ambito di responsabilità economica, sociale ed ambientale. La presentazione ufficiale del report sarà prevista in estate.</w:t>
      </w:r>
    </w:p>
    <w:p w:rsidR="005937A7" w:rsidRPr="00957D90" w:rsidRDefault="005937A7" w:rsidP="0026213D">
      <w:pPr>
        <w:jc w:val="both"/>
        <w:rPr>
          <w:rFonts w:ascii="Arial" w:hAnsi="Arial" w:cs="Arial"/>
        </w:rPr>
      </w:pPr>
    </w:p>
    <w:p w:rsidR="00CA3DFF" w:rsidRPr="00DA7BB4" w:rsidRDefault="008B69A0" w:rsidP="00CA3DFF">
      <w:pPr>
        <w:jc w:val="both"/>
        <w:rPr>
          <w:rFonts w:ascii="Arial" w:hAnsi="Arial" w:cs="Arial"/>
        </w:rPr>
      </w:pPr>
      <w:r w:rsidRPr="00957D90">
        <w:rPr>
          <w:rFonts w:ascii="Arial" w:hAnsi="Arial" w:cs="Arial"/>
        </w:rPr>
        <w:t xml:space="preserve">Nell’esercizio 2019 il Gruppo ha </w:t>
      </w:r>
      <w:r w:rsidR="00DA7BB4">
        <w:rPr>
          <w:rFonts w:ascii="Arial" w:hAnsi="Arial" w:cs="Arial"/>
        </w:rPr>
        <w:t>registrato</w:t>
      </w:r>
      <w:r w:rsidRPr="00957D90">
        <w:rPr>
          <w:rFonts w:ascii="Arial" w:hAnsi="Arial" w:cs="Arial"/>
        </w:rPr>
        <w:t xml:space="preserve"> una crescita del volume d’affari (pari a 11,</w:t>
      </w:r>
      <w:r w:rsidR="003027A7">
        <w:rPr>
          <w:rFonts w:ascii="Arial" w:hAnsi="Arial" w:cs="Arial"/>
        </w:rPr>
        <w:t>1</w:t>
      </w:r>
      <w:r w:rsidRPr="00957D90">
        <w:rPr>
          <w:rFonts w:ascii="Arial" w:hAnsi="Arial" w:cs="Arial"/>
        </w:rPr>
        <w:t xml:space="preserve"> milioni di Euro, +3,0%), accompagnata da un </w:t>
      </w:r>
      <w:r w:rsidR="0066692C" w:rsidRPr="00957D90">
        <w:rPr>
          <w:rFonts w:ascii="Arial" w:hAnsi="Arial" w:cs="Arial"/>
        </w:rPr>
        <w:t xml:space="preserve">lieve </w:t>
      </w:r>
      <w:r w:rsidRPr="00957D90">
        <w:rPr>
          <w:rFonts w:ascii="Arial" w:hAnsi="Arial" w:cs="Arial"/>
        </w:rPr>
        <w:t>miglioramento</w:t>
      </w:r>
      <w:r w:rsidR="0066692C" w:rsidRPr="00957D90">
        <w:rPr>
          <w:rFonts w:ascii="Arial" w:hAnsi="Arial" w:cs="Arial"/>
        </w:rPr>
        <w:t xml:space="preserve"> del</w:t>
      </w:r>
      <w:r w:rsidRPr="00957D90">
        <w:rPr>
          <w:rFonts w:ascii="Arial" w:hAnsi="Arial" w:cs="Arial"/>
        </w:rPr>
        <w:t xml:space="preserve"> Margine Operativo Lordo.</w:t>
      </w:r>
      <w:r w:rsidR="00CA3DFF" w:rsidRPr="00DA7BB4">
        <w:rPr>
          <w:rFonts w:ascii="Arial" w:hAnsi="Arial" w:cs="Arial"/>
        </w:rPr>
        <w:t xml:space="preserve"> Una performance di fatturato particolarmente positiva </w:t>
      </w:r>
      <w:r w:rsidR="00076881" w:rsidRPr="00DA7BB4">
        <w:rPr>
          <w:rFonts w:ascii="Arial" w:hAnsi="Arial" w:cs="Arial"/>
        </w:rPr>
        <w:t xml:space="preserve">se confrontata con il settore di riferimento </w:t>
      </w:r>
      <w:r w:rsidR="00957D90" w:rsidRPr="00DA7BB4">
        <w:rPr>
          <w:rFonts w:ascii="Arial" w:hAnsi="Arial" w:cs="Arial"/>
        </w:rPr>
        <w:t xml:space="preserve">che </w:t>
      </w:r>
      <w:r w:rsidR="00DA7BB4" w:rsidRPr="00DA7BB4">
        <w:rPr>
          <w:rFonts w:ascii="Arial" w:hAnsi="Arial" w:cs="Arial"/>
        </w:rPr>
        <w:t xml:space="preserve">ha </w:t>
      </w:r>
      <w:r w:rsidR="00076881" w:rsidRPr="00DA7BB4">
        <w:rPr>
          <w:rFonts w:ascii="Arial" w:hAnsi="Arial" w:cs="Arial"/>
        </w:rPr>
        <w:t>subìto</w:t>
      </w:r>
      <w:r w:rsidR="00076881" w:rsidRPr="00957D90">
        <w:rPr>
          <w:rFonts w:ascii="Arial" w:hAnsi="Arial" w:cs="Arial"/>
        </w:rPr>
        <w:t xml:space="preserve"> </w:t>
      </w:r>
      <w:r w:rsidR="00DA7BB4">
        <w:rPr>
          <w:rFonts w:ascii="Arial" w:hAnsi="Arial" w:cs="Arial"/>
        </w:rPr>
        <w:t xml:space="preserve">invece </w:t>
      </w:r>
      <w:r w:rsidR="00076881" w:rsidRPr="00957D90">
        <w:rPr>
          <w:rFonts w:ascii="Arial" w:hAnsi="Arial" w:cs="Arial"/>
        </w:rPr>
        <w:t xml:space="preserve">una contrazione del fatturato dello 0,7%, secondo </w:t>
      </w:r>
      <w:r w:rsidR="00DA7BB4">
        <w:rPr>
          <w:rFonts w:ascii="Arial" w:hAnsi="Arial" w:cs="Arial"/>
        </w:rPr>
        <w:t>i dati di</w:t>
      </w:r>
      <w:r w:rsidR="00076881" w:rsidRPr="00957D90">
        <w:rPr>
          <w:rFonts w:ascii="Arial" w:hAnsi="Arial" w:cs="Arial"/>
        </w:rPr>
        <w:t xml:space="preserve"> Confindustria Ceramica.</w:t>
      </w:r>
    </w:p>
    <w:p w:rsidR="008B69A0" w:rsidRPr="00957D90" w:rsidRDefault="008B69A0" w:rsidP="00CA3DFF">
      <w:pPr>
        <w:jc w:val="both"/>
        <w:rPr>
          <w:rFonts w:ascii="Arial" w:hAnsi="Arial" w:cs="Arial"/>
        </w:rPr>
      </w:pPr>
    </w:p>
    <w:p w:rsidR="008B69A0" w:rsidRPr="00957D90" w:rsidRDefault="008B69A0" w:rsidP="008B69A0">
      <w:pPr>
        <w:jc w:val="both"/>
        <w:rPr>
          <w:rFonts w:ascii="Arial" w:hAnsi="Arial" w:cs="Arial"/>
        </w:rPr>
      </w:pPr>
      <w:r w:rsidRPr="00957D90">
        <w:rPr>
          <w:rFonts w:ascii="Arial" w:hAnsi="Arial" w:cs="Arial"/>
        </w:rPr>
        <w:t xml:space="preserve">La crescita del fatturato ha </w:t>
      </w:r>
      <w:r w:rsidR="00353404" w:rsidRPr="00957D90">
        <w:rPr>
          <w:rFonts w:ascii="Arial" w:hAnsi="Arial" w:cs="Arial"/>
        </w:rPr>
        <w:t>riguardato</w:t>
      </w:r>
      <w:r w:rsidRPr="00957D90">
        <w:rPr>
          <w:rFonts w:ascii="Arial" w:hAnsi="Arial" w:cs="Arial"/>
        </w:rPr>
        <w:t xml:space="preserve"> la Business Unit italiana (+</w:t>
      </w:r>
      <w:r w:rsidR="00353404" w:rsidRPr="00957D90">
        <w:rPr>
          <w:rFonts w:ascii="Arial" w:hAnsi="Arial" w:cs="Arial"/>
        </w:rPr>
        <w:t>2</w:t>
      </w:r>
      <w:r w:rsidRPr="00957D90">
        <w:rPr>
          <w:rFonts w:ascii="Arial" w:hAnsi="Arial" w:cs="Arial"/>
        </w:rPr>
        <w:t>,</w:t>
      </w:r>
      <w:r w:rsidR="00353404" w:rsidRPr="00957D90">
        <w:rPr>
          <w:rFonts w:ascii="Arial" w:hAnsi="Arial" w:cs="Arial"/>
        </w:rPr>
        <w:t>0</w:t>
      </w:r>
      <w:r w:rsidRPr="00957D90">
        <w:rPr>
          <w:rFonts w:ascii="Arial" w:hAnsi="Arial" w:cs="Arial"/>
        </w:rPr>
        <w:t>%) e la Business Unit USA (+</w:t>
      </w:r>
      <w:r w:rsidR="00353404" w:rsidRPr="00957D90">
        <w:rPr>
          <w:rFonts w:ascii="Arial" w:hAnsi="Arial" w:cs="Arial"/>
        </w:rPr>
        <w:t>7</w:t>
      </w:r>
      <w:r w:rsidRPr="00957D90">
        <w:rPr>
          <w:rFonts w:ascii="Arial" w:hAnsi="Arial" w:cs="Arial"/>
        </w:rPr>
        <w:t>.</w:t>
      </w:r>
      <w:r w:rsidR="00353404" w:rsidRPr="00957D90">
        <w:rPr>
          <w:rFonts w:ascii="Arial" w:hAnsi="Arial" w:cs="Arial"/>
        </w:rPr>
        <w:t>3</w:t>
      </w:r>
      <w:r w:rsidRPr="00957D90">
        <w:rPr>
          <w:rFonts w:ascii="Arial" w:hAnsi="Arial" w:cs="Arial"/>
        </w:rPr>
        <w:t>%), mentre la BU portoghese ha registrato un lieve calo (-2.</w:t>
      </w:r>
      <w:r w:rsidR="00353404" w:rsidRPr="00957D90">
        <w:rPr>
          <w:rFonts w:ascii="Arial" w:hAnsi="Arial" w:cs="Arial"/>
        </w:rPr>
        <w:t>8</w:t>
      </w:r>
      <w:r w:rsidRPr="00957D90">
        <w:rPr>
          <w:rFonts w:ascii="Arial" w:hAnsi="Arial" w:cs="Arial"/>
        </w:rPr>
        <w:t>%).</w:t>
      </w:r>
    </w:p>
    <w:p w:rsidR="008B69A0" w:rsidRPr="00957D90" w:rsidRDefault="008B69A0" w:rsidP="008B69A0">
      <w:pPr>
        <w:jc w:val="both"/>
        <w:rPr>
          <w:rFonts w:ascii="Arial" w:hAnsi="Arial" w:cs="Arial"/>
        </w:rPr>
      </w:pPr>
    </w:p>
    <w:p w:rsidR="002F2DCE" w:rsidRPr="00957D90" w:rsidRDefault="00DD7830" w:rsidP="0008122B">
      <w:pPr>
        <w:jc w:val="both"/>
        <w:rPr>
          <w:rFonts w:ascii="Arial" w:hAnsi="Arial" w:cs="Arial"/>
        </w:rPr>
      </w:pPr>
      <w:r w:rsidRPr="00957D90">
        <w:rPr>
          <w:rFonts w:ascii="Arial" w:hAnsi="Arial" w:cs="Arial"/>
        </w:rPr>
        <w:t>Si registrano andamenti differenziati nelle diverse aree geograf</w:t>
      </w:r>
      <w:r w:rsidR="0008122B" w:rsidRPr="00957D90">
        <w:rPr>
          <w:rFonts w:ascii="Arial" w:hAnsi="Arial" w:cs="Arial"/>
        </w:rPr>
        <w:t xml:space="preserve">iche, con una crescita </w:t>
      </w:r>
      <w:r w:rsidRPr="00957D90">
        <w:rPr>
          <w:rFonts w:ascii="Arial" w:hAnsi="Arial" w:cs="Arial"/>
        </w:rPr>
        <w:t>in Europa</w:t>
      </w:r>
      <w:r w:rsidR="0008122B" w:rsidRPr="00957D90">
        <w:rPr>
          <w:rFonts w:ascii="Arial" w:hAnsi="Arial" w:cs="Arial"/>
        </w:rPr>
        <w:t xml:space="preserve"> (+2,6%)</w:t>
      </w:r>
      <w:r w:rsidR="002F2DCE" w:rsidRPr="00957D90">
        <w:rPr>
          <w:rFonts w:ascii="Arial" w:hAnsi="Arial" w:cs="Arial"/>
        </w:rPr>
        <w:t xml:space="preserve">, negli </w:t>
      </w:r>
    </w:p>
    <w:p w:rsidR="003F4514" w:rsidRPr="00957D90" w:rsidRDefault="008B69A0" w:rsidP="0008122B">
      <w:pPr>
        <w:jc w:val="both"/>
        <w:rPr>
          <w:rFonts w:ascii="Arial" w:hAnsi="Arial" w:cs="Arial"/>
        </w:rPr>
      </w:pPr>
      <w:r w:rsidRPr="00957D90">
        <w:rPr>
          <w:rFonts w:ascii="Arial" w:hAnsi="Arial" w:cs="Arial"/>
        </w:rPr>
        <w:t>USA (+7,</w:t>
      </w:r>
      <w:r w:rsidR="00DD7830" w:rsidRPr="00957D90">
        <w:rPr>
          <w:rFonts w:ascii="Arial" w:hAnsi="Arial" w:cs="Arial"/>
        </w:rPr>
        <w:t>1</w:t>
      </w:r>
      <w:r w:rsidRPr="00957D90">
        <w:rPr>
          <w:rFonts w:ascii="Arial" w:hAnsi="Arial" w:cs="Arial"/>
        </w:rPr>
        <w:t>%)</w:t>
      </w:r>
      <w:r w:rsidR="002F2DCE" w:rsidRPr="00957D90">
        <w:rPr>
          <w:rFonts w:ascii="Arial" w:hAnsi="Arial" w:cs="Arial"/>
        </w:rPr>
        <w:t xml:space="preserve"> e in</w:t>
      </w:r>
      <w:r w:rsidRPr="00957D90">
        <w:rPr>
          <w:rFonts w:ascii="Arial" w:hAnsi="Arial" w:cs="Arial"/>
        </w:rPr>
        <w:t xml:space="preserve"> Asia (+</w:t>
      </w:r>
      <w:r w:rsidR="00DD7830" w:rsidRPr="00957D90">
        <w:rPr>
          <w:rFonts w:ascii="Arial" w:hAnsi="Arial" w:cs="Arial"/>
        </w:rPr>
        <w:t>8</w:t>
      </w:r>
      <w:r w:rsidRPr="00957D90">
        <w:rPr>
          <w:rFonts w:ascii="Arial" w:hAnsi="Arial" w:cs="Arial"/>
        </w:rPr>
        <w:t>,</w:t>
      </w:r>
      <w:r w:rsidR="00DD7830" w:rsidRPr="00957D90">
        <w:rPr>
          <w:rFonts w:ascii="Arial" w:hAnsi="Arial" w:cs="Arial"/>
        </w:rPr>
        <w:t>0</w:t>
      </w:r>
      <w:r w:rsidRPr="00957D90">
        <w:rPr>
          <w:rFonts w:ascii="Arial" w:hAnsi="Arial" w:cs="Arial"/>
        </w:rPr>
        <w:t xml:space="preserve">%), mentre </w:t>
      </w:r>
      <w:r w:rsidR="0008122B" w:rsidRPr="00957D90">
        <w:rPr>
          <w:rFonts w:ascii="Arial" w:hAnsi="Arial" w:cs="Arial"/>
        </w:rPr>
        <w:t xml:space="preserve">sono calate </w:t>
      </w:r>
      <w:r w:rsidR="00DD7830" w:rsidRPr="00957D90">
        <w:rPr>
          <w:rFonts w:ascii="Arial" w:hAnsi="Arial" w:cs="Arial"/>
        </w:rPr>
        <w:t>le vendite sul</w:t>
      </w:r>
      <w:r w:rsidRPr="00957D90">
        <w:rPr>
          <w:rFonts w:ascii="Arial" w:hAnsi="Arial" w:cs="Arial"/>
        </w:rPr>
        <w:t xml:space="preserve"> </w:t>
      </w:r>
      <w:r w:rsidR="00DD7830" w:rsidRPr="00957D90">
        <w:rPr>
          <w:rFonts w:ascii="Arial" w:hAnsi="Arial" w:cs="Arial"/>
        </w:rPr>
        <w:t>mercato italiano</w:t>
      </w:r>
      <w:r w:rsidR="0008122B" w:rsidRPr="00957D90">
        <w:rPr>
          <w:rFonts w:ascii="Arial" w:hAnsi="Arial" w:cs="Arial"/>
        </w:rPr>
        <w:t xml:space="preserve"> (-</w:t>
      </w:r>
      <w:r w:rsidR="00DD7830" w:rsidRPr="00957D90">
        <w:rPr>
          <w:rFonts w:ascii="Arial" w:hAnsi="Arial" w:cs="Arial"/>
        </w:rPr>
        <w:t>2,8%</w:t>
      </w:r>
      <w:r w:rsidR="0008122B" w:rsidRPr="00957D90">
        <w:rPr>
          <w:rFonts w:ascii="Arial" w:hAnsi="Arial" w:cs="Arial"/>
        </w:rPr>
        <w:t>)</w:t>
      </w:r>
      <w:r w:rsidR="00DD7830" w:rsidRPr="00957D90">
        <w:rPr>
          <w:rFonts w:ascii="Arial" w:hAnsi="Arial" w:cs="Arial"/>
        </w:rPr>
        <w:t xml:space="preserve">, così come </w:t>
      </w:r>
      <w:r w:rsidR="003F4514" w:rsidRPr="00957D90">
        <w:rPr>
          <w:rFonts w:ascii="Arial" w:hAnsi="Arial" w:cs="Arial"/>
        </w:rPr>
        <w:t xml:space="preserve">risultano in flessione i mercati, </w:t>
      </w:r>
      <w:r w:rsidR="0008122B" w:rsidRPr="00957D90">
        <w:rPr>
          <w:rFonts w:ascii="Arial" w:hAnsi="Arial" w:cs="Arial"/>
        </w:rPr>
        <w:t xml:space="preserve">peraltro </w:t>
      </w:r>
      <w:r w:rsidR="003F4514" w:rsidRPr="00957D90">
        <w:rPr>
          <w:rFonts w:ascii="Arial" w:hAnsi="Arial" w:cs="Arial"/>
        </w:rPr>
        <w:t>marginali per il Gruppo, di Africa ed Oceania (-9% nel loro complesso)</w:t>
      </w:r>
    </w:p>
    <w:p w:rsidR="003F4514" w:rsidRPr="00957D90" w:rsidRDefault="003F4514" w:rsidP="0008122B">
      <w:pPr>
        <w:jc w:val="both"/>
        <w:rPr>
          <w:rFonts w:ascii="Arial" w:hAnsi="Arial" w:cs="Arial"/>
        </w:rPr>
      </w:pPr>
    </w:p>
    <w:p w:rsidR="008A077D" w:rsidRPr="00957D90" w:rsidRDefault="001774BC" w:rsidP="008B69A0">
      <w:pPr>
        <w:jc w:val="both"/>
        <w:rPr>
          <w:rFonts w:ascii="Arial" w:hAnsi="Arial" w:cs="Arial"/>
        </w:rPr>
      </w:pPr>
      <w:r w:rsidRPr="00957D90">
        <w:rPr>
          <w:rFonts w:ascii="Arial" w:hAnsi="Arial" w:cs="Arial"/>
        </w:rPr>
        <w:t xml:space="preserve">Il Margine Operativo Lordo </w:t>
      </w:r>
      <w:r w:rsidR="00076881" w:rsidRPr="00957D90">
        <w:rPr>
          <w:rFonts w:ascii="Arial" w:hAnsi="Arial" w:cs="Arial"/>
        </w:rPr>
        <w:t>registra un incremento</w:t>
      </w:r>
      <w:r w:rsidRPr="00957D90">
        <w:rPr>
          <w:rFonts w:ascii="Arial" w:hAnsi="Arial" w:cs="Arial"/>
        </w:rPr>
        <w:t xml:space="preserve"> di 0,</w:t>
      </w:r>
      <w:r w:rsidR="00D66915">
        <w:rPr>
          <w:rFonts w:ascii="Arial" w:hAnsi="Arial" w:cs="Arial"/>
        </w:rPr>
        <w:t>7</w:t>
      </w:r>
      <w:r w:rsidRPr="00957D90">
        <w:rPr>
          <w:rFonts w:ascii="Arial" w:hAnsi="Arial" w:cs="Arial"/>
        </w:rPr>
        <w:t xml:space="preserve"> milioni di Euro, </w:t>
      </w:r>
      <w:r w:rsidR="00864B09" w:rsidRPr="00957D90">
        <w:rPr>
          <w:rFonts w:ascii="Arial" w:hAnsi="Arial" w:cs="Arial"/>
        </w:rPr>
        <w:t xml:space="preserve">con </w:t>
      </w:r>
      <w:r w:rsidR="00DA7BB4" w:rsidRPr="00957D90">
        <w:rPr>
          <w:rFonts w:ascii="Arial" w:hAnsi="Arial" w:cs="Arial"/>
        </w:rPr>
        <w:t>una variazione</w:t>
      </w:r>
      <w:r w:rsidR="00723E54" w:rsidRPr="00957D90">
        <w:rPr>
          <w:rFonts w:ascii="Arial" w:hAnsi="Arial" w:cs="Arial"/>
        </w:rPr>
        <w:t xml:space="preserve"> positiva</w:t>
      </w:r>
      <w:r w:rsidR="00864B09" w:rsidRPr="00957D90">
        <w:rPr>
          <w:rFonts w:ascii="Arial" w:hAnsi="Arial" w:cs="Arial"/>
        </w:rPr>
        <w:t xml:space="preserve"> del 2,</w:t>
      </w:r>
      <w:r w:rsidR="00D66915">
        <w:rPr>
          <w:rFonts w:ascii="Arial" w:hAnsi="Arial" w:cs="Arial"/>
        </w:rPr>
        <w:t>2</w:t>
      </w:r>
      <w:r w:rsidR="00864B09" w:rsidRPr="00957D90">
        <w:rPr>
          <w:rFonts w:ascii="Arial" w:hAnsi="Arial" w:cs="Arial"/>
        </w:rPr>
        <w:t>%</w:t>
      </w:r>
      <w:r w:rsidRPr="00957D90">
        <w:rPr>
          <w:rFonts w:ascii="Arial" w:hAnsi="Arial" w:cs="Arial"/>
        </w:rPr>
        <w:t>.</w:t>
      </w:r>
    </w:p>
    <w:p w:rsidR="008A077D" w:rsidRPr="00957D90" w:rsidRDefault="008A077D" w:rsidP="008B69A0">
      <w:pPr>
        <w:jc w:val="both"/>
        <w:rPr>
          <w:rFonts w:ascii="Arial" w:hAnsi="Arial" w:cs="Arial"/>
        </w:rPr>
      </w:pPr>
    </w:p>
    <w:p w:rsidR="00076881" w:rsidRPr="00957D90" w:rsidRDefault="00076881" w:rsidP="008B69A0">
      <w:pPr>
        <w:jc w:val="both"/>
        <w:rPr>
          <w:rFonts w:ascii="Arial" w:hAnsi="Arial" w:cs="Arial"/>
        </w:rPr>
      </w:pPr>
    </w:p>
    <w:p w:rsidR="00076881" w:rsidRPr="00957D90" w:rsidRDefault="00076881" w:rsidP="008B69A0">
      <w:pPr>
        <w:jc w:val="both"/>
        <w:rPr>
          <w:rFonts w:ascii="Arial" w:hAnsi="Arial" w:cs="Arial"/>
        </w:rPr>
      </w:pPr>
    </w:p>
    <w:p w:rsidR="00076881" w:rsidRPr="00957D90" w:rsidRDefault="00076881" w:rsidP="00076881">
      <w:pPr>
        <w:autoSpaceDE w:val="0"/>
        <w:autoSpaceDN w:val="0"/>
        <w:adjustRightInd w:val="0"/>
        <w:rPr>
          <w:rFonts w:ascii="Arial" w:eastAsia="Calibri" w:hAnsi="Arial" w:cs="Arial"/>
          <w:b/>
          <w:color w:val="000000"/>
          <w:lang w:eastAsia="en-US"/>
        </w:rPr>
      </w:pPr>
      <w:r w:rsidRPr="00957D90">
        <w:rPr>
          <w:rFonts w:ascii="Arial" w:eastAsia="Calibri" w:hAnsi="Arial" w:cs="Arial"/>
          <w:b/>
          <w:color w:val="000000"/>
          <w:lang w:eastAsia="en-US"/>
        </w:rPr>
        <w:t>PRINCIPALI INDICATORI ECONOMICI CONSOLIDATI</w:t>
      </w:r>
    </w:p>
    <w:p w:rsidR="00076881" w:rsidRPr="00957D90" w:rsidRDefault="00076881" w:rsidP="00076881">
      <w:pPr>
        <w:autoSpaceDE w:val="0"/>
        <w:autoSpaceDN w:val="0"/>
        <w:adjustRightInd w:val="0"/>
        <w:rPr>
          <w:rFonts w:ascii="Arial" w:eastAsia="Calibri" w:hAnsi="Arial" w:cs="Arial"/>
          <w:color w:val="000000"/>
          <w:lang w:eastAsia="en-US"/>
        </w:rPr>
      </w:pPr>
      <w:r w:rsidRPr="00957D90">
        <w:rPr>
          <w:rFonts w:ascii="Arial" w:eastAsia="Calibri" w:hAnsi="Arial" w:cs="Arial"/>
          <w:color w:val="000000"/>
          <w:lang w:eastAsia="en-US"/>
        </w:rPr>
        <w:t>(valori in migliaia di Euro)</w:t>
      </w:r>
    </w:p>
    <w:tbl>
      <w:tblPr>
        <w:tblW w:w="9590" w:type="dxa"/>
        <w:tblInd w:w="55" w:type="dxa"/>
        <w:tblCellMar>
          <w:left w:w="70" w:type="dxa"/>
          <w:right w:w="70" w:type="dxa"/>
        </w:tblCellMar>
        <w:tblLook w:val="0000" w:firstRow="0" w:lastRow="0" w:firstColumn="0" w:lastColumn="0" w:noHBand="0" w:noVBand="0"/>
      </w:tblPr>
      <w:tblGrid>
        <w:gridCol w:w="3176"/>
        <w:gridCol w:w="2138"/>
        <w:gridCol w:w="2138"/>
        <w:gridCol w:w="2138"/>
      </w:tblGrid>
      <w:tr w:rsidR="00076881" w:rsidRPr="00957D90" w:rsidTr="00567BB0">
        <w:trPr>
          <w:trHeight w:val="352"/>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076881" w:rsidRPr="00957D90" w:rsidRDefault="00076881" w:rsidP="00076881">
            <w:pPr>
              <w:rPr>
                <w:rFonts w:ascii="Arial" w:hAnsi="Arial" w:cs="Arial"/>
                <w:b/>
                <w:bCs/>
                <w:color w:val="000000"/>
              </w:rPr>
            </w:pPr>
            <w:r w:rsidRPr="00957D90">
              <w:rPr>
                <w:rFonts w:ascii="Arial" w:hAnsi="Arial" w:cs="Arial"/>
                <w:b/>
                <w:bCs/>
                <w:color w:val="000000"/>
              </w:rPr>
              <w:t>Natura</w:t>
            </w:r>
          </w:p>
        </w:tc>
        <w:tc>
          <w:tcPr>
            <w:tcW w:w="2138" w:type="dxa"/>
            <w:tcBorders>
              <w:top w:val="single" w:sz="4" w:space="0" w:color="auto"/>
              <w:left w:val="nil"/>
              <w:bottom w:val="single" w:sz="4" w:space="0" w:color="auto"/>
              <w:right w:val="single" w:sz="4" w:space="0" w:color="auto"/>
            </w:tcBorders>
            <w:shd w:val="clear" w:color="auto" w:fill="auto"/>
            <w:vAlign w:val="center"/>
          </w:tcPr>
          <w:p w:rsidR="00076881" w:rsidRPr="00957D90" w:rsidRDefault="00076881" w:rsidP="00076881">
            <w:pPr>
              <w:jc w:val="center"/>
              <w:rPr>
                <w:rFonts w:ascii="Arial" w:hAnsi="Arial" w:cs="Arial"/>
                <w:b/>
                <w:bCs/>
                <w:color w:val="000000"/>
              </w:rPr>
            </w:pPr>
            <w:r w:rsidRPr="00957D90">
              <w:rPr>
                <w:rFonts w:ascii="Arial" w:hAnsi="Arial" w:cs="Arial"/>
                <w:b/>
                <w:bCs/>
                <w:color w:val="000000"/>
              </w:rPr>
              <w:t>31/12/2019</w:t>
            </w:r>
          </w:p>
        </w:tc>
        <w:tc>
          <w:tcPr>
            <w:tcW w:w="2138" w:type="dxa"/>
            <w:tcBorders>
              <w:top w:val="single" w:sz="4" w:space="0" w:color="auto"/>
              <w:left w:val="nil"/>
              <w:bottom w:val="single" w:sz="4" w:space="0" w:color="auto"/>
              <w:right w:val="single" w:sz="4" w:space="0" w:color="auto"/>
            </w:tcBorders>
            <w:shd w:val="clear" w:color="auto" w:fill="auto"/>
            <w:vAlign w:val="center"/>
          </w:tcPr>
          <w:p w:rsidR="00076881" w:rsidRPr="00957D90" w:rsidRDefault="00076881" w:rsidP="00076881">
            <w:pPr>
              <w:jc w:val="center"/>
              <w:rPr>
                <w:rFonts w:ascii="Arial" w:hAnsi="Arial" w:cs="Arial"/>
                <w:b/>
                <w:bCs/>
                <w:color w:val="000000"/>
              </w:rPr>
            </w:pPr>
            <w:r w:rsidRPr="00957D90">
              <w:rPr>
                <w:rFonts w:ascii="Arial" w:hAnsi="Arial" w:cs="Arial"/>
                <w:b/>
                <w:bCs/>
                <w:color w:val="000000"/>
              </w:rPr>
              <w:t>31/12/2018</w:t>
            </w:r>
          </w:p>
        </w:tc>
        <w:tc>
          <w:tcPr>
            <w:tcW w:w="2138" w:type="dxa"/>
            <w:tcBorders>
              <w:top w:val="single" w:sz="4" w:space="0" w:color="auto"/>
              <w:left w:val="nil"/>
              <w:bottom w:val="single" w:sz="4" w:space="0" w:color="auto"/>
              <w:right w:val="single" w:sz="4" w:space="0" w:color="auto"/>
            </w:tcBorders>
            <w:shd w:val="clear" w:color="auto" w:fill="auto"/>
            <w:vAlign w:val="center"/>
          </w:tcPr>
          <w:p w:rsidR="00076881" w:rsidRPr="00957D90" w:rsidRDefault="00076881" w:rsidP="00076881">
            <w:pPr>
              <w:jc w:val="center"/>
              <w:rPr>
                <w:rFonts w:ascii="Arial" w:hAnsi="Arial" w:cs="Arial"/>
                <w:b/>
                <w:bCs/>
                <w:color w:val="000000"/>
              </w:rPr>
            </w:pPr>
            <w:r w:rsidRPr="00957D90">
              <w:rPr>
                <w:rFonts w:ascii="Arial" w:hAnsi="Arial" w:cs="Arial"/>
                <w:b/>
                <w:bCs/>
                <w:color w:val="000000"/>
              </w:rPr>
              <w:t>Var. € (000)</w:t>
            </w:r>
          </w:p>
        </w:tc>
      </w:tr>
      <w:tr w:rsidR="00076881" w:rsidRPr="00957D90" w:rsidTr="00567BB0">
        <w:trPr>
          <w:trHeight w:val="552"/>
        </w:trPr>
        <w:tc>
          <w:tcPr>
            <w:tcW w:w="3176" w:type="dxa"/>
            <w:tcBorders>
              <w:top w:val="nil"/>
              <w:left w:val="single" w:sz="4" w:space="0" w:color="auto"/>
              <w:bottom w:val="single" w:sz="4" w:space="0" w:color="auto"/>
              <w:right w:val="single" w:sz="4" w:space="0" w:color="auto"/>
            </w:tcBorders>
            <w:shd w:val="clear" w:color="auto" w:fill="auto"/>
          </w:tcPr>
          <w:p w:rsidR="00076881" w:rsidRPr="00957D90" w:rsidRDefault="00076881" w:rsidP="00076881">
            <w:pPr>
              <w:rPr>
                <w:rFonts w:ascii="Arial" w:hAnsi="Arial" w:cs="Arial"/>
                <w:color w:val="000000"/>
              </w:rPr>
            </w:pPr>
            <w:r w:rsidRPr="00957D90">
              <w:rPr>
                <w:rFonts w:ascii="Arial" w:hAnsi="Arial" w:cs="Arial"/>
                <w:color w:val="000000"/>
              </w:rPr>
              <w:t xml:space="preserve"> Ricavi delle vendite e </w:t>
            </w:r>
            <w:r w:rsidRPr="00957D90">
              <w:rPr>
                <w:rFonts w:ascii="Arial" w:hAnsi="Arial" w:cs="Arial"/>
                <w:color w:val="000000"/>
              </w:rPr>
              <w:br/>
              <w:t xml:space="preserve"> delle prestazioni</w:t>
            </w:r>
          </w:p>
        </w:tc>
        <w:tc>
          <w:tcPr>
            <w:tcW w:w="2138" w:type="dxa"/>
            <w:tcBorders>
              <w:top w:val="nil"/>
              <w:left w:val="nil"/>
              <w:bottom w:val="single" w:sz="4" w:space="0" w:color="auto"/>
              <w:right w:val="single" w:sz="4" w:space="0" w:color="auto"/>
            </w:tcBorders>
            <w:shd w:val="clear" w:color="auto" w:fill="auto"/>
          </w:tcPr>
          <w:p w:rsidR="00076881" w:rsidRPr="00957D90" w:rsidRDefault="00FC5D66" w:rsidP="00D66915">
            <w:pPr>
              <w:jc w:val="center"/>
              <w:rPr>
                <w:rFonts w:ascii="Arial" w:hAnsi="Arial" w:cs="Arial"/>
                <w:color w:val="000000"/>
              </w:rPr>
            </w:pPr>
            <w:r w:rsidRPr="00957D90">
              <w:rPr>
                <w:rFonts w:ascii="Arial" w:hAnsi="Arial" w:cs="Arial"/>
                <w:color w:val="000000"/>
              </w:rPr>
              <w:t>382.0</w:t>
            </w:r>
            <w:r w:rsidR="00D66915">
              <w:rPr>
                <w:rFonts w:ascii="Arial" w:hAnsi="Arial" w:cs="Arial"/>
                <w:color w:val="000000"/>
              </w:rPr>
              <w:t>19</w:t>
            </w:r>
          </w:p>
        </w:tc>
        <w:tc>
          <w:tcPr>
            <w:tcW w:w="2138" w:type="dxa"/>
            <w:tcBorders>
              <w:top w:val="nil"/>
              <w:left w:val="nil"/>
              <w:bottom w:val="single" w:sz="4" w:space="0" w:color="auto"/>
              <w:right w:val="single" w:sz="4" w:space="0" w:color="auto"/>
            </w:tcBorders>
            <w:shd w:val="clear" w:color="auto" w:fill="auto"/>
          </w:tcPr>
          <w:p w:rsidR="00076881" w:rsidRPr="00957D90" w:rsidRDefault="00FC5D66" w:rsidP="00076881">
            <w:pPr>
              <w:jc w:val="center"/>
              <w:rPr>
                <w:rFonts w:ascii="Arial" w:hAnsi="Arial" w:cs="Arial"/>
                <w:color w:val="000000"/>
              </w:rPr>
            </w:pPr>
            <w:r w:rsidRPr="00957D90">
              <w:rPr>
                <w:rFonts w:ascii="Arial" w:hAnsi="Arial" w:cs="Arial"/>
                <w:color w:val="000000"/>
              </w:rPr>
              <w:t>370</w:t>
            </w:r>
            <w:r w:rsidR="003027A7">
              <w:rPr>
                <w:rFonts w:ascii="Arial" w:hAnsi="Arial" w:cs="Arial"/>
                <w:color w:val="000000"/>
              </w:rPr>
              <w:t>.</w:t>
            </w:r>
            <w:r w:rsidRPr="00957D90">
              <w:rPr>
                <w:rFonts w:ascii="Arial" w:hAnsi="Arial" w:cs="Arial"/>
                <w:color w:val="000000"/>
              </w:rPr>
              <w:t>995</w:t>
            </w:r>
          </w:p>
        </w:tc>
        <w:tc>
          <w:tcPr>
            <w:tcW w:w="2138" w:type="dxa"/>
            <w:tcBorders>
              <w:top w:val="nil"/>
              <w:left w:val="nil"/>
              <w:bottom w:val="single" w:sz="4" w:space="0" w:color="auto"/>
              <w:right w:val="single" w:sz="4" w:space="0" w:color="auto"/>
            </w:tcBorders>
            <w:shd w:val="clear" w:color="auto" w:fill="auto"/>
          </w:tcPr>
          <w:p w:rsidR="00076881" w:rsidRPr="00957D90" w:rsidRDefault="00973007" w:rsidP="00076881">
            <w:pPr>
              <w:jc w:val="center"/>
              <w:rPr>
                <w:rFonts w:ascii="Arial" w:hAnsi="Arial" w:cs="Arial"/>
                <w:color w:val="000000"/>
              </w:rPr>
            </w:pPr>
            <w:r>
              <w:rPr>
                <w:rFonts w:ascii="Arial" w:hAnsi="Arial" w:cs="Arial"/>
                <w:color w:val="000000"/>
              </w:rPr>
              <w:t>+11.024</w:t>
            </w:r>
          </w:p>
        </w:tc>
      </w:tr>
      <w:tr w:rsidR="00076881" w:rsidRPr="00957D90" w:rsidTr="00567BB0">
        <w:trPr>
          <w:trHeight w:val="552"/>
        </w:trPr>
        <w:tc>
          <w:tcPr>
            <w:tcW w:w="3176" w:type="dxa"/>
            <w:tcBorders>
              <w:top w:val="nil"/>
              <w:left w:val="single" w:sz="4" w:space="0" w:color="auto"/>
              <w:bottom w:val="single" w:sz="4" w:space="0" w:color="auto"/>
              <w:right w:val="single" w:sz="4" w:space="0" w:color="auto"/>
            </w:tcBorders>
            <w:shd w:val="clear" w:color="auto" w:fill="auto"/>
          </w:tcPr>
          <w:p w:rsidR="00076881" w:rsidRPr="00957D90" w:rsidRDefault="00076881" w:rsidP="00076881">
            <w:pPr>
              <w:rPr>
                <w:rFonts w:ascii="Arial" w:hAnsi="Arial" w:cs="Arial"/>
                <w:color w:val="000000"/>
              </w:rPr>
            </w:pPr>
            <w:r w:rsidRPr="00957D90">
              <w:rPr>
                <w:rFonts w:ascii="Arial" w:hAnsi="Arial" w:cs="Arial"/>
                <w:color w:val="000000"/>
              </w:rPr>
              <w:t xml:space="preserve"> Valore della </w:t>
            </w:r>
            <w:r w:rsidRPr="00957D90">
              <w:rPr>
                <w:rFonts w:ascii="Arial" w:hAnsi="Arial" w:cs="Arial"/>
                <w:color w:val="000000"/>
              </w:rPr>
              <w:br/>
              <w:t xml:space="preserve"> produzione</w:t>
            </w:r>
          </w:p>
        </w:tc>
        <w:tc>
          <w:tcPr>
            <w:tcW w:w="2138" w:type="dxa"/>
            <w:tcBorders>
              <w:top w:val="nil"/>
              <w:left w:val="nil"/>
              <w:bottom w:val="single" w:sz="4" w:space="0" w:color="auto"/>
              <w:right w:val="single" w:sz="4" w:space="0" w:color="auto"/>
            </w:tcBorders>
            <w:shd w:val="clear" w:color="auto" w:fill="auto"/>
          </w:tcPr>
          <w:p w:rsidR="00076881" w:rsidRPr="00957D90" w:rsidRDefault="00FC5D66" w:rsidP="00D66915">
            <w:pPr>
              <w:jc w:val="center"/>
              <w:rPr>
                <w:rFonts w:ascii="Arial" w:hAnsi="Arial" w:cs="Arial"/>
                <w:color w:val="000000"/>
              </w:rPr>
            </w:pPr>
            <w:r w:rsidRPr="00957D90">
              <w:rPr>
                <w:rFonts w:ascii="Arial" w:hAnsi="Arial" w:cs="Arial"/>
                <w:color w:val="000000"/>
              </w:rPr>
              <w:t>400</w:t>
            </w:r>
            <w:r w:rsidR="003027A7">
              <w:rPr>
                <w:rFonts w:ascii="Arial" w:hAnsi="Arial" w:cs="Arial"/>
                <w:color w:val="000000"/>
              </w:rPr>
              <w:t>.</w:t>
            </w:r>
            <w:r w:rsidRPr="00957D90">
              <w:rPr>
                <w:rFonts w:ascii="Arial" w:hAnsi="Arial" w:cs="Arial"/>
                <w:color w:val="000000"/>
              </w:rPr>
              <w:t>77</w:t>
            </w:r>
            <w:r w:rsidR="00D66915">
              <w:rPr>
                <w:rFonts w:ascii="Arial" w:hAnsi="Arial" w:cs="Arial"/>
                <w:color w:val="000000"/>
              </w:rPr>
              <w:t>4</w:t>
            </w:r>
          </w:p>
        </w:tc>
        <w:tc>
          <w:tcPr>
            <w:tcW w:w="2138" w:type="dxa"/>
            <w:tcBorders>
              <w:top w:val="nil"/>
              <w:left w:val="nil"/>
              <w:bottom w:val="single" w:sz="4" w:space="0" w:color="auto"/>
              <w:right w:val="single" w:sz="4" w:space="0" w:color="auto"/>
            </w:tcBorders>
            <w:shd w:val="clear" w:color="auto" w:fill="auto"/>
          </w:tcPr>
          <w:p w:rsidR="00076881" w:rsidRPr="00957D90" w:rsidRDefault="00FC5D66" w:rsidP="00076881">
            <w:pPr>
              <w:jc w:val="center"/>
              <w:rPr>
                <w:rFonts w:ascii="Arial" w:hAnsi="Arial" w:cs="Arial"/>
                <w:color w:val="000000"/>
              </w:rPr>
            </w:pPr>
            <w:r w:rsidRPr="00957D90">
              <w:rPr>
                <w:rFonts w:ascii="Arial" w:hAnsi="Arial" w:cs="Arial"/>
                <w:color w:val="000000"/>
              </w:rPr>
              <w:t>391</w:t>
            </w:r>
            <w:r w:rsidR="003027A7">
              <w:rPr>
                <w:rFonts w:ascii="Arial" w:hAnsi="Arial" w:cs="Arial"/>
                <w:color w:val="000000"/>
              </w:rPr>
              <w:t>.</w:t>
            </w:r>
            <w:r w:rsidRPr="00957D90">
              <w:rPr>
                <w:rFonts w:ascii="Arial" w:hAnsi="Arial" w:cs="Arial"/>
                <w:color w:val="000000"/>
              </w:rPr>
              <w:t>56</w:t>
            </w:r>
            <w:r w:rsidR="003027A7">
              <w:rPr>
                <w:rFonts w:ascii="Arial" w:hAnsi="Arial" w:cs="Arial"/>
                <w:color w:val="000000"/>
              </w:rPr>
              <w:t>6</w:t>
            </w:r>
          </w:p>
        </w:tc>
        <w:tc>
          <w:tcPr>
            <w:tcW w:w="2138" w:type="dxa"/>
            <w:tcBorders>
              <w:top w:val="nil"/>
              <w:left w:val="nil"/>
              <w:bottom w:val="single" w:sz="4" w:space="0" w:color="auto"/>
              <w:right w:val="single" w:sz="4" w:space="0" w:color="auto"/>
            </w:tcBorders>
            <w:shd w:val="clear" w:color="auto" w:fill="auto"/>
          </w:tcPr>
          <w:p w:rsidR="00076881" w:rsidRPr="00957D90" w:rsidRDefault="00FC5D66" w:rsidP="00D66915">
            <w:pPr>
              <w:jc w:val="center"/>
              <w:rPr>
                <w:rFonts w:ascii="Arial" w:hAnsi="Arial" w:cs="Arial"/>
                <w:color w:val="000000"/>
              </w:rPr>
            </w:pPr>
            <w:r w:rsidRPr="00957D90">
              <w:rPr>
                <w:rFonts w:ascii="Arial" w:hAnsi="Arial" w:cs="Arial"/>
                <w:color w:val="000000"/>
              </w:rPr>
              <w:t>+9</w:t>
            </w:r>
            <w:r w:rsidR="003027A7">
              <w:rPr>
                <w:rFonts w:ascii="Arial" w:hAnsi="Arial" w:cs="Arial"/>
                <w:color w:val="000000"/>
              </w:rPr>
              <w:t>.</w:t>
            </w:r>
            <w:r w:rsidRPr="00957D90">
              <w:rPr>
                <w:rFonts w:ascii="Arial" w:hAnsi="Arial" w:cs="Arial"/>
                <w:color w:val="000000"/>
              </w:rPr>
              <w:t>20</w:t>
            </w:r>
            <w:r w:rsidR="00D66915">
              <w:rPr>
                <w:rFonts w:ascii="Arial" w:hAnsi="Arial" w:cs="Arial"/>
                <w:color w:val="000000"/>
              </w:rPr>
              <w:t>8</w:t>
            </w:r>
          </w:p>
        </w:tc>
      </w:tr>
      <w:tr w:rsidR="00076881" w:rsidRPr="00957D90" w:rsidTr="00567BB0">
        <w:trPr>
          <w:trHeight w:val="552"/>
        </w:trPr>
        <w:tc>
          <w:tcPr>
            <w:tcW w:w="3176" w:type="dxa"/>
            <w:tcBorders>
              <w:top w:val="nil"/>
              <w:left w:val="single" w:sz="4" w:space="0" w:color="auto"/>
              <w:bottom w:val="single" w:sz="4" w:space="0" w:color="auto"/>
              <w:right w:val="single" w:sz="4" w:space="0" w:color="auto"/>
            </w:tcBorders>
            <w:shd w:val="clear" w:color="auto" w:fill="auto"/>
          </w:tcPr>
          <w:p w:rsidR="00076881" w:rsidRPr="00957D90" w:rsidRDefault="00076881" w:rsidP="00076881">
            <w:pPr>
              <w:rPr>
                <w:rFonts w:ascii="Arial" w:hAnsi="Arial" w:cs="Arial"/>
                <w:color w:val="000000"/>
              </w:rPr>
            </w:pPr>
            <w:r w:rsidRPr="00957D90">
              <w:rPr>
                <w:rFonts w:ascii="Arial" w:hAnsi="Arial" w:cs="Arial"/>
                <w:color w:val="000000"/>
              </w:rPr>
              <w:t xml:space="preserve"> Margine Operativo </w:t>
            </w:r>
            <w:r w:rsidRPr="00957D90">
              <w:rPr>
                <w:rFonts w:ascii="Arial" w:hAnsi="Arial" w:cs="Arial"/>
                <w:color w:val="000000"/>
              </w:rPr>
              <w:br/>
              <w:t xml:space="preserve"> Lordo</w:t>
            </w:r>
          </w:p>
        </w:tc>
        <w:tc>
          <w:tcPr>
            <w:tcW w:w="2138" w:type="dxa"/>
            <w:tcBorders>
              <w:top w:val="nil"/>
              <w:left w:val="nil"/>
              <w:bottom w:val="single" w:sz="4" w:space="0" w:color="auto"/>
              <w:right w:val="single" w:sz="4" w:space="0" w:color="auto"/>
            </w:tcBorders>
            <w:shd w:val="clear" w:color="auto" w:fill="auto"/>
          </w:tcPr>
          <w:p w:rsidR="00076881" w:rsidRPr="00957D90" w:rsidRDefault="00FC5D66" w:rsidP="00D66915">
            <w:pPr>
              <w:jc w:val="center"/>
              <w:rPr>
                <w:rFonts w:ascii="Arial" w:hAnsi="Arial" w:cs="Arial"/>
                <w:color w:val="000000"/>
              </w:rPr>
            </w:pPr>
            <w:r w:rsidRPr="00957D90">
              <w:rPr>
                <w:rFonts w:ascii="Arial" w:hAnsi="Arial" w:cs="Arial"/>
                <w:color w:val="000000"/>
              </w:rPr>
              <w:t>32</w:t>
            </w:r>
            <w:r w:rsidR="003027A7">
              <w:rPr>
                <w:rFonts w:ascii="Arial" w:hAnsi="Arial" w:cs="Arial"/>
                <w:color w:val="000000"/>
              </w:rPr>
              <w:t>.</w:t>
            </w:r>
            <w:r w:rsidR="00D66915">
              <w:rPr>
                <w:rFonts w:ascii="Arial" w:hAnsi="Arial" w:cs="Arial"/>
                <w:color w:val="000000"/>
              </w:rPr>
              <w:t>427</w:t>
            </w:r>
          </w:p>
        </w:tc>
        <w:tc>
          <w:tcPr>
            <w:tcW w:w="2138" w:type="dxa"/>
            <w:tcBorders>
              <w:top w:val="nil"/>
              <w:left w:val="nil"/>
              <w:bottom w:val="single" w:sz="4" w:space="0" w:color="auto"/>
              <w:right w:val="single" w:sz="4" w:space="0" w:color="auto"/>
            </w:tcBorders>
            <w:shd w:val="clear" w:color="auto" w:fill="auto"/>
          </w:tcPr>
          <w:p w:rsidR="00076881" w:rsidRPr="00957D90" w:rsidRDefault="00FC5D66" w:rsidP="00076881">
            <w:pPr>
              <w:jc w:val="center"/>
              <w:rPr>
                <w:rFonts w:ascii="Arial" w:hAnsi="Arial" w:cs="Arial"/>
                <w:color w:val="000000"/>
              </w:rPr>
            </w:pPr>
            <w:r w:rsidRPr="00957D90">
              <w:rPr>
                <w:rFonts w:ascii="Arial" w:hAnsi="Arial" w:cs="Arial"/>
                <w:color w:val="000000"/>
              </w:rPr>
              <w:t>31</w:t>
            </w:r>
            <w:r w:rsidR="003027A7">
              <w:rPr>
                <w:rFonts w:ascii="Arial" w:hAnsi="Arial" w:cs="Arial"/>
                <w:color w:val="000000"/>
              </w:rPr>
              <w:t>.</w:t>
            </w:r>
            <w:r w:rsidR="00D66915">
              <w:rPr>
                <w:rFonts w:ascii="Arial" w:hAnsi="Arial" w:cs="Arial"/>
                <w:color w:val="000000"/>
              </w:rPr>
              <w:t>724</w:t>
            </w:r>
          </w:p>
        </w:tc>
        <w:tc>
          <w:tcPr>
            <w:tcW w:w="2138" w:type="dxa"/>
            <w:tcBorders>
              <w:top w:val="nil"/>
              <w:left w:val="nil"/>
              <w:bottom w:val="single" w:sz="4" w:space="0" w:color="auto"/>
              <w:right w:val="single" w:sz="4" w:space="0" w:color="auto"/>
            </w:tcBorders>
            <w:shd w:val="clear" w:color="auto" w:fill="auto"/>
          </w:tcPr>
          <w:p w:rsidR="00076881" w:rsidRPr="00957D90" w:rsidRDefault="00973007" w:rsidP="00076881">
            <w:pPr>
              <w:jc w:val="center"/>
              <w:rPr>
                <w:rFonts w:ascii="Arial" w:hAnsi="Arial" w:cs="Arial"/>
                <w:color w:val="000000"/>
              </w:rPr>
            </w:pPr>
            <w:r>
              <w:rPr>
                <w:rFonts w:ascii="Arial" w:hAnsi="Arial" w:cs="Arial"/>
                <w:color w:val="000000"/>
              </w:rPr>
              <w:t>+ 703</w:t>
            </w:r>
          </w:p>
        </w:tc>
      </w:tr>
      <w:tr w:rsidR="00076881" w:rsidRPr="00957D90" w:rsidTr="00D66915">
        <w:trPr>
          <w:trHeight w:val="552"/>
        </w:trPr>
        <w:tc>
          <w:tcPr>
            <w:tcW w:w="3176" w:type="dxa"/>
            <w:tcBorders>
              <w:top w:val="nil"/>
              <w:left w:val="single" w:sz="4" w:space="0" w:color="auto"/>
              <w:bottom w:val="single" w:sz="4" w:space="0" w:color="auto"/>
              <w:right w:val="single" w:sz="4" w:space="0" w:color="auto"/>
            </w:tcBorders>
            <w:shd w:val="clear" w:color="auto" w:fill="auto"/>
          </w:tcPr>
          <w:p w:rsidR="00076881" w:rsidRPr="00957D90" w:rsidRDefault="00076881" w:rsidP="00076881">
            <w:pPr>
              <w:rPr>
                <w:rFonts w:ascii="Arial" w:hAnsi="Arial" w:cs="Arial"/>
                <w:color w:val="000000"/>
              </w:rPr>
            </w:pPr>
            <w:r w:rsidRPr="00957D90">
              <w:rPr>
                <w:rFonts w:ascii="Arial" w:hAnsi="Arial" w:cs="Arial"/>
                <w:color w:val="000000"/>
              </w:rPr>
              <w:t xml:space="preserve"> Margine Operativo </w:t>
            </w:r>
            <w:r w:rsidRPr="00957D90">
              <w:rPr>
                <w:rFonts w:ascii="Arial" w:hAnsi="Arial" w:cs="Arial"/>
                <w:color w:val="000000"/>
              </w:rPr>
              <w:br/>
              <w:t xml:space="preserve"> Netto </w:t>
            </w:r>
          </w:p>
        </w:tc>
        <w:tc>
          <w:tcPr>
            <w:tcW w:w="2138" w:type="dxa"/>
            <w:tcBorders>
              <w:top w:val="nil"/>
              <w:left w:val="nil"/>
              <w:bottom w:val="single" w:sz="4" w:space="0" w:color="auto"/>
              <w:right w:val="single" w:sz="4" w:space="0" w:color="auto"/>
            </w:tcBorders>
            <w:shd w:val="clear" w:color="auto" w:fill="auto"/>
          </w:tcPr>
          <w:p w:rsidR="00076881" w:rsidRPr="00957D90" w:rsidRDefault="00D66915" w:rsidP="00076881">
            <w:pPr>
              <w:jc w:val="center"/>
              <w:rPr>
                <w:rFonts w:ascii="Arial" w:hAnsi="Arial" w:cs="Arial"/>
                <w:color w:val="000000"/>
              </w:rPr>
            </w:pPr>
            <w:r>
              <w:rPr>
                <w:rFonts w:ascii="Arial" w:hAnsi="Arial" w:cs="Arial"/>
                <w:color w:val="000000"/>
              </w:rPr>
              <w:t>-4,882</w:t>
            </w:r>
          </w:p>
        </w:tc>
        <w:tc>
          <w:tcPr>
            <w:tcW w:w="2138" w:type="dxa"/>
            <w:tcBorders>
              <w:top w:val="nil"/>
              <w:left w:val="nil"/>
              <w:bottom w:val="single" w:sz="4" w:space="0" w:color="auto"/>
              <w:right w:val="single" w:sz="4" w:space="0" w:color="auto"/>
            </w:tcBorders>
            <w:shd w:val="clear" w:color="auto" w:fill="auto"/>
          </w:tcPr>
          <w:p w:rsidR="00076881" w:rsidRPr="00957D90" w:rsidRDefault="00D66915" w:rsidP="00076881">
            <w:pPr>
              <w:jc w:val="center"/>
              <w:rPr>
                <w:rFonts w:ascii="Arial" w:hAnsi="Arial" w:cs="Arial"/>
                <w:color w:val="000000"/>
              </w:rPr>
            </w:pPr>
            <w:r>
              <w:rPr>
                <w:rFonts w:ascii="Arial" w:hAnsi="Arial" w:cs="Arial"/>
                <w:color w:val="000000"/>
              </w:rPr>
              <w:t>-4,177</w:t>
            </w:r>
          </w:p>
        </w:tc>
        <w:tc>
          <w:tcPr>
            <w:tcW w:w="2138" w:type="dxa"/>
            <w:tcBorders>
              <w:top w:val="nil"/>
              <w:left w:val="nil"/>
              <w:bottom w:val="single" w:sz="4" w:space="0" w:color="auto"/>
              <w:right w:val="single" w:sz="4" w:space="0" w:color="auto"/>
            </w:tcBorders>
            <w:shd w:val="clear" w:color="auto" w:fill="auto"/>
          </w:tcPr>
          <w:p w:rsidR="00076881" w:rsidRPr="00957D90" w:rsidRDefault="00973007" w:rsidP="00973007">
            <w:pPr>
              <w:jc w:val="center"/>
              <w:rPr>
                <w:rFonts w:ascii="Arial" w:hAnsi="Arial" w:cs="Arial"/>
                <w:color w:val="000000"/>
              </w:rPr>
            </w:pPr>
            <w:r>
              <w:rPr>
                <w:rFonts w:ascii="Arial" w:hAnsi="Arial" w:cs="Arial"/>
                <w:color w:val="000000"/>
              </w:rPr>
              <w:t>- 705</w:t>
            </w:r>
          </w:p>
        </w:tc>
      </w:tr>
      <w:tr w:rsidR="003027A7" w:rsidRPr="00957D90" w:rsidTr="00D66915">
        <w:trPr>
          <w:trHeight w:val="552"/>
        </w:trPr>
        <w:tc>
          <w:tcPr>
            <w:tcW w:w="3176" w:type="dxa"/>
            <w:tcBorders>
              <w:top w:val="single" w:sz="4" w:space="0" w:color="auto"/>
              <w:left w:val="single" w:sz="4" w:space="0" w:color="auto"/>
              <w:bottom w:val="single" w:sz="4" w:space="0" w:color="auto"/>
              <w:right w:val="single" w:sz="4" w:space="0" w:color="auto"/>
            </w:tcBorders>
            <w:shd w:val="clear" w:color="auto" w:fill="auto"/>
          </w:tcPr>
          <w:p w:rsidR="003027A7" w:rsidRPr="00957D90" w:rsidRDefault="00D66915" w:rsidP="00076881">
            <w:pPr>
              <w:rPr>
                <w:rFonts w:ascii="Arial" w:hAnsi="Arial" w:cs="Arial"/>
                <w:color w:val="000000"/>
              </w:rPr>
            </w:pPr>
            <w:r>
              <w:rPr>
                <w:rFonts w:ascii="Arial" w:hAnsi="Arial" w:cs="Arial"/>
                <w:color w:val="000000"/>
              </w:rPr>
              <w:t>Risultato Netto</w:t>
            </w:r>
          </w:p>
        </w:tc>
        <w:tc>
          <w:tcPr>
            <w:tcW w:w="2138" w:type="dxa"/>
            <w:tcBorders>
              <w:top w:val="single" w:sz="4" w:space="0" w:color="auto"/>
              <w:left w:val="nil"/>
              <w:bottom w:val="single" w:sz="4" w:space="0" w:color="auto"/>
              <w:right w:val="single" w:sz="4" w:space="0" w:color="auto"/>
            </w:tcBorders>
            <w:shd w:val="clear" w:color="auto" w:fill="auto"/>
          </w:tcPr>
          <w:p w:rsidR="003027A7" w:rsidRPr="00957D90" w:rsidRDefault="00D66915" w:rsidP="00076881">
            <w:pPr>
              <w:jc w:val="center"/>
              <w:rPr>
                <w:rFonts w:ascii="Arial" w:hAnsi="Arial" w:cs="Arial"/>
                <w:color w:val="000000"/>
              </w:rPr>
            </w:pPr>
            <w:r>
              <w:rPr>
                <w:rFonts w:ascii="Arial" w:hAnsi="Arial" w:cs="Arial"/>
                <w:color w:val="000000"/>
              </w:rPr>
              <w:t>-6,386</w:t>
            </w:r>
          </w:p>
        </w:tc>
        <w:tc>
          <w:tcPr>
            <w:tcW w:w="2138" w:type="dxa"/>
            <w:tcBorders>
              <w:top w:val="single" w:sz="4" w:space="0" w:color="auto"/>
              <w:left w:val="nil"/>
              <w:bottom w:val="single" w:sz="4" w:space="0" w:color="auto"/>
              <w:right w:val="single" w:sz="4" w:space="0" w:color="auto"/>
            </w:tcBorders>
            <w:shd w:val="clear" w:color="auto" w:fill="auto"/>
          </w:tcPr>
          <w:p w:rsidR="003027A7" w:rsidRPr="00957D90" w:rsidRDefault="00D66915" w:rsidP="00076881">
            <w:pPr>
              <w:jc w:val="center"/>
              <w:rPr>
                <w:rFonts w:ascii="Arial" w:hAnsi="Arial" w:cs="Arial"/>
                <w:color w:val="000000"/>
              </w:rPr>
            </w:pPr>
            <w:r>
              <w:rPr>
                <w:rFonts w:ascii="Arial" w:hAnsi="Arial" w:cs="Arial"/>
                <w:color w:val="000000"/>
              </w:rPr>
              <w:t>-5,084</w:t>
            </w:r>
          </w:p>
        </w:tc>
        <w:tc>
          <w:tcPr>
            <w:tcW w:w="2138" w:type="dxa"/>
            <w:tcBorders>
              <w:top w:val="single" w:sz="4" w:space="0" w:color="auto"/>
              <w:left w:val="nil"/>
              <w:bottom w:val="single" w:sz="4" w:space="0" w:color="auto"/>
              <w:right w:val="single" w:sz="4" w:space="0" w:color="auto"/>
            </w:tcBorders>
            <w:shd w:val="clear" w:color="auto" w:fill="auto"/>
          </w:tcPr>
          <w:p w:rsidR="003027A7" w:rsidRPr="00957D90" w:rsidRDefault="00973007" w:rsidP="00076881">
            <w:pPr>
              <w:jc w:val="center"/>
              <w:rPr>
                <w:rFonts w:ascii="Arial" w:hAnsi="Arial" w:cs="Arial"/>
                <w:color w:val="000000"/>
              </w:rPr>
            </w:pPr>
            <w:r>
              <w:rPr>
                <w:rFonts w:ascii="Arial" w:hAnsi="Arial" w:cs="Arial"/>
                <w:color w:val="000000"/>
              </w:rPr>
              <w:t>- 1.302</w:t>
            </w:r>
          </w:p>
        </w:tc>
      </w:tr>
    </w:tbl>
    <w:p w:rsidR="0043190E" w:rsidRPr="00957D90" w:rsidRDefault="0043190E" w:rsidP="008B69A0">
      <w:pPr>
        <w:jc w:val="both"/>
        <w:rPr>
          <w:rFonts w:ascii="Arial" w:hAnsi="Arial" w:cs="Arial"/>
        </w:rPr>
      </w:pPr>
    </w:p>
    <w:p w:rsidR="000F0A27" w:rsidRPr="00957D90" w:rsidRDefault="000F0A27" w:rsidP="008B69A0">
      <w:pPr>
        <w:jc w:val="both"/>
        <w:rPr>
          <w:rFonts w:ascii="Arial" w:hAnsi="Arial" w:cs="Arial"/>
        </w:rPr>
      </w:pPr>
    </w:p>
    <w:p w:rsidR="0070781B" w:rsidRPr="00957D90" w:rsidRDefault="0070781B" w:rsidP="009D536B">
      <w:pPr>
        <w:jc w:val="both"/>
        <w:rPr>
          <w:rFonts w:ascii="Arial" w:hAnsi="Arial" w:cs="Arial"/>
          <w:highlight w:val="green"/>
        </w:rPr>
      </w:pPr>
    </w:p>
    <w:p w:rsidR="00CF0DDE" w:rsidRPr="00CF0DDE" w:rsidRDefault="00CF0DDE" w:rsidP="00CF0DDE">
      <w:pPr>
        <w:jc w:val="both"/>
        <w:rPr>
          <w:rFonts w:ascii="Arial" w:hAnsi="Arial" w:cs="Arial"/>
        </w:rPr>
      </w:pPr>
      <w:r w:rsidRPr="00CF0DDE">
        <w:rPr>
          <w:rFonts w:ascii="Arial" w:hAnsi="Arial" w:cs="Arial" w:hint="eastAsia"/>
        </w:rPr>
        <w:t>“</w:t>
      </w:r>
      <w:r w:rsidRPr="00CF0DDE">
        <w:rPr>
          <w:rFonts w:ascii="Arial" w:hAnsi="Arial" w:cs="Arial"/>
        </w:rPr>
        <w:t xml:space="preserve">Nel 2019 </w:t>
      </w:r>
      <w:r w:rsidRPr="00CF0DDE">
        <w:rPr>
          <w:rFonts w:ascii="Arial" w:hAnsi="Arial" w:cs="Arial" w:hint="eastAsia"/>
        </w:rPr>
        <w:t>–</w:t>
      </w:r>
      <w:r w:rsidRPr="00CF0DDE">
        <w:rPr>
          <w:rFonts w:ascii="Arial" w:hAnsi="Arial" w:cs="Arial"/>
        </w:rPr>
        <w:t xml:space="preserve"> ha affermato Emilio Mussini, Presidente di Panariagroup </w:t>
      </w:r>
      <w:r w:rsidRPr="00CF0DDE">
        <w:rPr>
          <w:rFonts w:ascii="Arial" w:hAnsi="Arial" w:cs="Arial" w:hint="eastAsia"/>
        </w:rPr>
        <w:t>–</w:t>
      </w:r>
      <w:r w:rsidRPr="00CF0DDE">
        <w:rPr>
          <w:rFonts w:ascii="Arial" w:hAnsi="Arial" w:cs="Arial"/>
        </w:rPr>
        <w:t xml:space="preserve">  ci siamo trovati ad operare in un quadro macro-economico altalenante: nonostante ci</w:t>
      </w:r>
      <w:r w:rsidRPr="00CF0DDE">
        <w:rPr>
          <w:rFonts w:ascii="Arial" w:hAnsi="Arial" w:cs="Arial" w:hint="eastAsia"/>
        </w:rPr>
        <w:t>ò</w:t>
      </w:r>
      <w:r w:rsidRPr="00CF0DDE">
        <w:rPr>
          <w:rFonts w:ascii="Arial" w:hAnsi="Arial" w:cs="Arial"/>
        </w:rPr>
        <w:t xml:space="preserve"> il Gruppo ha conseguito un incremento del volume d</w:t>
      </w:r>
      <w:r w:rsidRPr="00CF0DDE">
        <w:rPr>
          <w:rFonts w:ascii="Arial" w:hAnsi="Arial" w:cs="Arial" w:hint="eastAsia"/>
        </w:rPr>
        <w:t>’</w:t>
      </w:r>
      <w:r w:rsidRPr="00CF0DDE">
        <w:rPr>
          <w:rFonts w:ascii="Arial" w:hAnsi="Arial" w:cs="Arial"/>
        </w:rPr>
        <w:t>affari</w:t>
      </w:r>
      <w:r w:rsidR="00DA211F">
        <w:rPr>
          <w:rFonts w:ascii="Arial" w:hAnsi="Arial" w:cs="Arial"/>
        </w:rPr>
        <w:t>,</w:t>
      </w:r>
      <w:r w:rsidRPr="00CF0DDE">
        <w:rPr>
          <w:rFonts w:ascii="Arial" w:hAnsi="Arial" w:cs="Arial"/>
        </w:rPr>
        <w:t xml:space="preserve"> a testimonianza dell</w:t>
      </w:r>
      <w:r w:rsidRPr="00CF0DDE">
        <w:rPr>
          <w:rFonts w:ascii="Arial" w:hAnsi="Arial" w:cs="Arial" w:hint="eastAsia"/>
        </w:rPr>
        <w:t>’</w:t>
      </w:r>
      <w:r w:rsidRPr="00CF0DDE">
        <w:rPr>
          <w:rFonts w:ascii="Arial" w:hAnsi="Arial" w:cs="Arial"/>
        </w:rPr>
        <w:t>apprezzamento dei nostri prodotti da parte dei mercati domestici ed internazionali, oltre ad un lieve miglioramento del margine operativo lordo.</w:t>
      </w:r>
      <w:r w:rsidRPr="00CF0DDE">
        <w:rPr>
          <w:rFonts w:ascii="Arial" w:hAnsi="Arial" w:cs="Arial" w:hint="eastAsia"/>
        </w:rPr>
        <w:t>”</w:t>
      </w:r>
    </w:p>
    <w:p w:rsidR="00CF0DDE" w:rsidRPr="00CF0DDE" w:rsidRDefault="00CF0DDE" w:rsidP="00CF0DDE">
      <w:pPr>
        <w:jc w:val="both"/>
        <w:rPr>
          <w:rFonts w:ascii="Arial" w:hAnsi="Arial" w:cs="Arial"/>
        </w:rPr>
      </w:pPr>
    </w:p>
    <w:p w:rsidR="00CF0DDE" w:rsidRPr="00CF0DDE" w:rsidRDefault="00CF0DDE" w:rsidP="00CF0DDE">
      <w:pPr>
        <w:jc w:val="both"/>
        <w:rPr>
          <w:rFonts w:ascii="Arial" w:hAnsi="Arial" w:cs="Arial"/>
        </w:rPr>
      </w:pPr>
      <w:r w:rsidRPr="00CF0DDE">
        <w:rPr>
          <w:rFonts w:ascii="Arial" w:hAnsi="Arial" w:cs="Arial"/>
        </w:rPr>
        <w:t xml:space="preserve">Il risultato economico negativo </w:t>
      </w:r>
      <w:r w:rsidRPr="00CF0DDE">
        <w:rPr>
          <w:rFonts w:ascii="Arial" w:hAnsi="Arial" w:cs="Arial" w:hint="eastAsia"/>
        </w:rPr>
        <w:t>–</w:t>
      </w:r>
      <w:r w:rsidRPr="00CF0DDE">
        <w:rPr>
          <w:rFonts w:ascii="Arial" w:hAnsi="Arial" w:cs="Arial"/>
        </w:rPr>
        <w:t xml:space="preserve"> ha proseguito Mussini - disattende tuttavia le nostre attese, e pertanto ci sentiamo ancora pi</w:t>
      </w:r>
      <w:r w:rsidRPr="00CF0DDE">
        <w:rPr>
          <w:rFonts w:ascii="Arial" w:hAnsi="Arial" w:cs="Arial" w:hint="eastAsia"/>
        </w:rPr>
        <w:t>ù</w:t>
      </w:r>
      <w:r w:rsidRPr="00CF0DDE">
        <w:rPr>
          <w:rFonts w:ascii="Arial" w:hAnsi="Arial" w:cs="Arial"/>
        </w:rPr>
        <w:t xml:space="preserve"> impegnati a perseguire un deciso miglioramento dell</w:t>
      </w:r>
      <w:r w:rsidRPr="00CF0DDE">
        <w:rPr>
          <w:rFonts w:ascii="Arial" w:hAnsi="Arial" w:cs="Arial" w:hint="eastAsia"/>
        </w:rPr>
        <w:t>’</w:t>
      </w:r>
      <w:r w:rsidRPr="00CF0DDE">
        <w:rPr>
          <w:rFonts w:ascii="Arial" w:hAnsi="Arial" w:cs="Arial"/>
        </w:rPr>
        <w:t>efficienza sul piano produttivo e distributivo, attraverso misure volte alla riduzione dei costi e ad un aumento della produttivit</w:t>
      </w:r>
      <w:r w:rsidRPr="00CF0DDE">
        <w:rPr>
          <w:rFonts w:ascii="Arial" w:hAnsi="Arial" w:cs="Arial" w:hint="eastAsia"/>
        </w:rPr>
        <w:t>à</w:t>
      </w:r>
      <w:r w:rsidRPr="00CF0DDE">
        <w:rPr>
          <w:rFonts w:ascii="Arial" w:hAnsi="Arial" w:cs="Arial"/>
        </w:rPr>
        <w:t>: misure finalizzate a un ritorno all</w:t>
      </w:r>
      <w:r w:rsidRPr="00CF0DDE">
        <w:rPr>
          <w:rFonts w:ascii="Arial" w:hAnsi="Arial" w:cs="Arial" w:hint="eastAsia"/>
        </w:rPr>
        <w:t>’</w:t>
      </w:r>
      <w:r w:rsidRPr="00CF0DDE">
        <w:rPr>
          <w:rFonts w:ascii="Arial" w:hAnsi="Arial" w:cs="Arial"/>
        </w:rPr>
        <w:t>utile di esercizio. Iniziative che si rendono ancora pi</w:t>
      </w:r>
      <w:r w:rsidRPr="00CF0DDE">
        <w:rPr>
          <w:rFonts w:ascii="Arial" w:hAnsi="Arial" w:cs="Arial" w:hint="eastAsia"/>
        </w:rPr>
        <w:t>ù</w:t>
      </w:r>
      <w:r w:rsidRPr="00CF0DDE">
        <w:rPr>
          <w:rFonts w:ascii="Arial" w:hAnsi="Arial" w:cs="Arial"/>
        </w:rPr>
        <w:t xml:space="preserve"> necessarie stante il nuovo scenario che si sta delineando a causa della diffusione del virus Covid-19. Il propagarsi del contagio, divenuto pandemia, </w:t>
      </w:r>
      <w:r w:rsidRPr="00CF0DDE">
        <w:rPr>
          <w:rFonts w:ascii="Arial" w:hAnsi="Arial" w:cs="Arial" w:hint="eastAsia"/>
        </w:rPr>
        <w:t>è</w:t>
      </w:r>
      <w:r w:rsidRPr="00CF0DDE">
        <w:rPr>
          <w:rFonts w:ascii="Arial" w:hAnsi="Arial" w:cs="Arial"/>
        </w:rPr>
        <w:t xml:space="preserve"> probabile che </w:t>
      </w:r>
      <w:r w:rsidR="00DA211F">
        <w:rPr>
          <w:rFonts w:ascii="Arial" w:hAnsi="Arial" w:cs="Arial"/>
        </w:rPr>
        <w:t>determini impatti</w:t>
      </w:r>
      <w:r w:rsidRPr="00CF0DDE">
        <w:rPr>
          <w:rFonts w:ascii="Arial" w:hAnsi="Arial" w:cs="Arial"/>
        </w:rPr>
        <w:t xml:space="preserve"> anche </w:t>
      </w:r>
      <w:r w:rsidR="00DA211F">
        <w:rPr>
          <w:rFonts w:ascii="Arial" w:hAnsi="Arial" w:cs="Arial"/>
        </w:rPr>
        <w:t>al</w:t>
      </w:r>
      <w:r w:rsidRPr="00CF0DDE">
        <w:rPr>
          <w:rFonts w:ascii="Arial" w:hAnsi="Arial" w:cs="Arial"/>
        </w:rPr>
        <w:t>le nostre Business Unit estere che sono gi</w:t>
      </w:r>
      <w:r w:rsidRPr="00CF0DDE">
        <w:rPr>
          <w:rFonts w:ascii="Arial" w:hAnsi="Arial" w:cs="Arial" w:hint="eastAsia"/>
        </w:rPr>
        <w:t>à</w:t>
      </w:r>
      <w:r w:rsidRPr="00CF0DDE">
        <w:rPr>
          <w:rFonts w:ascii="Arial" w:hAnsi="Arial" w:cs="Arial"/>
        </w:rPr>
        <w:t xml:space="preserve"> allertate e stanno prontamente predisponendo le misure di protezione della salute che abbiamo gi</w:t>
      </w:r>
      <w:r w:rsidRPr="00CF0DDE">
        <w:rPr>
          <w:rFonts w:ascii="Arial" w:hAnsi="Arial" w:cs="Arial" w:hint="eastAsia"/>
        </w:rPr>
        <w:t>à</w:t>
      </w:r>
      <w:r w:rsidRPr="00CF0DDE">
        <w:rPr>
          <w:rFonts w:ascii="Arial" w:hAnsi="Arial" w:cs="Arial"/>
        </w:rPr>
        <w:t xml:space="preserve"> adottato nella Business Unit italiana.</w:t>
      </w:r>
      <w:r w:rsidRPr="00CF0DDE">
        <w:rPr>
          <w:rFonts w:ascii="Arial" w:hAnsi="Arial" w:cs="Arial" w:hint="eastAsia"/>
        </w:rPr>
        <w:t>”</w:t>
      </w:r>
    </w:p>
    <w:p w:rsidR="00E60404" w:rsidRDefault="00E60404" w:rsidP="009D536B">
      <w:pPr>
        <w:jc w:val="both"/>
        <w:rPr>
          <w:rFonts w:ascii="Arial" w:hAnsi="Arial" w:cs="Arial"/>
          <w:highlight w:val="yellow"/>
        </w:rPr>
      </w:pPr>
    </w:p>
    <w:p w:rsidR="000F0A27" w:rsidRPr="00957D90" w:rsidRDefault="000F0A27" w:rsidP="008B69A0">
      <w:pPr>
        <w:jc w:val="both"/>
        <w:rPr>
          <w:rFonts w:ascii="Arial" w:hAnsi="Arial" w:cs="Arial"/>
        </w:rPr>
      </w:pPr>
    </w:p>
    <w:p w:rsidR="00C417E9" w:rsidRPr="00957D90" w:rsidRDefault="001762C0" w:rsidP="00083185">
      <w:pPr>
        <w:jc w:val="both"/>
        <w:rPr>
          <w:rFonts w:ascii="Arial" w:hAnsi="Arial" w:cs="Arial"/>
          <w:b/>
          <w:bCs/>
        </w:rPr>
      </w:pPr>
      <w:r w:rsidRPr="00957D90">
        <w:rPr>
          <w:rFonts w:ascii="Arial" w:hAnsi="Arial" w:cs="Arial"/>
          <w:b/>
          <w:bCs/>
        </w:rPr>
        <w:t>RICAVI</w:t>
      </w:r>
    </w:p>
    <w:p w:rsidR="001762C0" w:rsidRPr="00957D90" w:rsidRDefault="001762C0" w:rsidP="00083185">
      <w:pPr>
        <w:jc w:val="both"/>
        <w:rPr>
          <w:rFonts w:ascii="Arial" w:hAnsi="Arial" w:cs="Arial"/>
          <w:b/>
          <w:bCs/>
        </w:rPr>
      </w:pPr>
    </w:p>
    <w:p w:rsidR="001762C0" w:rsidRPr="00957D90" w:rsidRDefault="001762C0" w:rsidP="001762C0">
      <w:pPr>
        <w:jc w:val="both"/>
        <w:rPr>
          <w:rFonts w:ascii="Arial" w:hAnsi="Arial" w:cs="Arial"/>
        </w:rPr>
      </w:pPr>
      <w:r w:rsidRPr="00957D90">
        <w:rPr>
          <w:rFonts w:ascii="Arial" w:hAnsi="Arial" w:cs="Arial"/>
        </w:rPr>
        <w:t>Il Gruppo ha conseguito nel 2019 un totale dei Ricavi pari a 382,</w:t>
      </w:r>
      <w:r w:rsidR="00973007">
        <w:rPr>
          <w:rFonts w:ascii="Arial" w:hAnsi="Arial" w:cs="Arial"/>
        </w:rPr>
        <w:t>0</w:t>
      </w:r>
      <w:r w:rsidRPr="00957D90">
        <w:rPr>
          <w:rFonts w:ascii="Arial" w:hAnsi="Arial" w:cs="Arial"/>
        </w:rPr>
        <w:t xml:space="preserve"> milioni di Euro, in crescita (+3,0%) rispetto </w:t>
      </w:r>
      <w:r w:rsidR="00E60404" w:rsidRPr="00957D90">
        <w:rPr>
          <w:rFonts w:ascii="Arial" w:hAnsi="Arial" w:cs="Arial"/>
        </w:rPr>
        <w:t>al 2018</w:t>
      </w:r>
      <w:r w:rsidRPr="00957D90">
        <w:rPr>
          <w:rFonts w:ascii="Arial" w:hAnsi="Arial" w:cs="Arial"/>
        </w:rPr>
        <w:t>, riprendendo il percorso di crescita che si era interrotto nel 2018.</w:t>
      </w:r>
    </w:p>
    <w:p w:rsidR="00CF5746" w:rsidRPr="00957D90" w:rsidRDefault="00CF5746" w:rsidP="001762C0">
      <w:pPr>
        <w:jc w:val="both"/>
        <w:rPr>
          <w:rFonts w:ascii="Arial" w:hAnsi="Arial" w:cs="Arial"/>
        </w:rPr>
      </w:pPr>
    </w:p>
    <w:p w:rsidR="008B08FE" w:rsidRPr="00957D90" w:rsidRDefault="00CF5746" w:rsidP="008B08FE">
      <w:pPr>
        <w:jc w:val="both"/>
        <w:rPr>
          <w:rFonts w:ascii="Arial" w:hAnsi="Arial" w:cs="Arial"/>
        </w:rPr>
      </w:pPr>
      <w:r w:rsidRPr="00957D90">
        <w:rPr>
          <w:rFonts w:ascii="Arial" w:hAnsi="Arial" w:cs="Arial"/>
        </w:rPr>
        <w:t xml:space="preserve">Il Fatturato dei </w:t>
      </w:r>
      <w:r w:rsidRPr="004E7062">
        <w:rPr>
          <w:rFonts w:ascii="Arial" w:hAnsi="Arial" w:cs="Arial"/>
          <w:b/>
          <w:bCs/>
        </w:rPr>
        <w:t>mercati esteri</w:t>
      </w:r>
      <w:r w:rsidRPr="00957D90">
        <w:rPr>
          <w:rFonts w:ascii="Arial" w:hAnsi="Arial" w:cs="Arial"/>
        </w:rPr>
        <w:t xml:space="preserve"> del Gruppo </w:t>
      </w:r>
      <w:r w:rsidR="008B08FE" w:rsidRPr="00957D90">
        <w:rPr>
          <w:rFonts w:ascii="Arial" w:hAnsi="Arial" w:cs="Arial"/>
        </w:rPr>
        <w:t>è pari all’</w:t>
      </w:r>
      <w:r w:rsidR="008B08FE" w:rsidRPr="00957D90">
        <w:rPr>
          <w:rFonts w:ascii="Arial" w:hAnsi="Arial" w:cs="Arial"/>
          <w:b/>
        </w:rPr>
        <w:t>81%</w:t>
      </w:r>
      <w:r w:rsidR="008B08FE" w:rsidRPr="00957D90">
        <w:rPr>
          <w:rFonts w:ascii="Arial" w:hAnsi="Arial" w:cs="Arial"/>
        </w:rPr>
        <w:t xml:space="preserve"> del totale, con la quota dei </w:t>
      </w:r>
      <w:r w:rsidR="008B08FE" w:rsidRPr="00957D90">
        <w:rPr>
          <w:rFonts w:ascii="Arial" w:hAnsi="Arial" w:cs="Arial"/>
          <w:b/>
        </w:rPr>
        <w:t>mercati extra-europei</w:t>
      </w:r>
      <w:r w:rsidR="008B08FE" w:rsidRPr="00957D90">
        <w:rPr>
          <w:rFonts w:ascii="Arial" w:hAnsi="Arial" w:cs="Arial"/>
        </w:rPr>
        <w:t xml:space="preserve"> pari al </w:t>
      </w:r>
      <w:r w:rsidR="008B08FE" w:rsidRPr="00957D90">
        <w:rPr>
          <w:rFonts w:ascii="Arial" w:hAnsi="Arial" w:cs="Arial"/>
          <w:b/>
        </w:rPr>
        <w:t>45 %</w:t>
      </w:r>
      <w:r w:rsidR="008B08FE" w:rsidRPr="00957D90">
        <w:rPr>
          <w:rFonts w:ascii="Arial" w:hAnsi="Arial" w:cs="Arial"/>
        </w:rPr>
        <w:t xml:space="preserve"> del fatturato complessivo.</w:t>
      </w:r>
    </w:p>
    <w:p w:rsidR="00CF5746" w:rsidRPr="00957D90" w:rsidRDefault="00CF5746" w:rsidP="001762C0">
      <w:pPr>
        <w:jc w:val="both"/>
        <w:rPr>
          <w:rFonts w:ascii="Arial" w:hAnsi="Arial" w:cs="Arial"/>
        </w:rPr>
      </w:pPr>
    </w:p>
    <w:p w:rsidR="00CF5746" w:rsidRPr="00957D90" w:rsidRDefault="00CF5746" w:rsidP="00CF5746">
      <w:pPr>
        <w:jc w:val="both"/>
        <w:rPr>
          <w:rFonts w:ascii="Arial" w:hAnsi="Arial" w:cs="Arial"/>
        </w:rPr>
      </w:pPr>
      <w:r w:rsidRPr="00957D90">
        <w:rPr>
          <w:rFonts w:ascii="Arial" w:hAnsi="Arial" w:cs="Arial"/>
        </w:rPr>
        <w:t xml:space="preserve">A livello di fatturato </w:t>
      </w:r>
      <w:r w:rsidR="00531ECC" w:rsidRPr="00957D90">
        <w:rPr>
          <w:rFonts w:ascii="Arial" w:hAnsi="Arial" w:cs="Arial"/>
        </w:rPr>
        <w:t>nelle principali</w:t>
      </w:r>
      <w:r w:rsidRPr="00957D90">
        <w:rPr>
          <w:rFonts w:ascii="Arial" w:hAnsi="Arial" w:cs="Arial"/>
        </w:rPr>
        <w:t xml:space="preserve"> aree di riferimento si segnalano i seguenti andamenti:</w:t>
      </w:r>
    </w:p>
    <w:p w:rsidR="00CF5746" w:rsidRPr="00957D90" w:rsidRDefault="00CF5746" w:rsidP="00CF5746">
      <w:pPr>
        <w:jc w:val="both"/>
        <w:rPr>
          <w:rFonts w:ascii="Arial" w:hAnsi="Arial" w:cs="Arial"/>
        </w:rPr>
      </w:pPr>
    </w:p>
    <w:p w:rsidR="00CF5746" w:rsidRPr="00957D90" w:rsidRDefault="00CF5746" w:rsidP="00CF5746">
      <w:pPr>
        <w:jc w:val="both"/>
        <w:rPr>
          <w:rFonts w:ascii="Arial" w:hAnsi="Arial" w:cs="Arial"/>
        </w:rPr>
      </w:pPr>
      <w:r w:rsidRPr="00957D90">
        <w:rPr>
          <w:rFonts w:ascii="Arial" w:hAnsi="Arial" w:cs="Arial"/>
          <w:b/>
          <w:bCs/>
        </w:rPr>
        <w:t>EUROPA –</w:t>
      </w:r>
      <w:r w:rsidRPr="00957D90">
        <w:rPr>
          <w:rFonts w:ascii="Arial" w:hAnsi="Arial" w:cs="Arial"/>
        </w:rPr>
        <w:t xml:space="preserve"> </w:t>
      </w:r>
      <w:r w:rsidR="00FB60DF">
        <w:rPr>
          <w:rFonts w:ascii="Arial" w:hAnsi="Arial" w:cs="Arial"/>
        </w:rPr>
        <w:t>Nei</w:t>
      </w:r>
      <w:r w:rsidRPr="00957D90">
        <w:rPr>
          <w:rFonts w:ascii="Arial" w:hAnsi="Arial" w:cs="Arial"/>
        </w:rPr>
        <w:t xml:space="preserve"> mercati europei il Gruppo ha </w:t>
      </w:r>
      <w:r w:rsidR="00FB60DF">
        <w:rPr>
          <w:rFonts w:ascii="Arial" w:hAnsi="Arial" w:cs="Arial"/>
        </w:rPr>
        <w:t>registrato</w:t>
      </w:r>
      <w:r w:rsidRPr="00957D90">
        <w:rPr>
          <w:rFonts w:ascii="Arial" w:hAnsi="Arial" w:cs="Arial"/>
        </w:rPr>
        <w:t xml:space="preserve"> un volume d’affari in progressione rispetto all’anno precedente con una crescita complessiva del 2,6%.</w:t>
      </w:r>
    </w:p>
    <w:p w:rsidR="00CF5746" w:rsidRPr="00957D90" w:rsidRDefault="00E82329" w:rsidP="00CF5746">
      <w:pPr>
        <w:jc w:val="both"/>
        <w:rPr>
          <w:rFonts w:ascii="Arial" w:hAnsi="Arial" w:cs="Arial"/>
        </w:rPr>
      </w:pPr>
      <w:r w:rsidRPr="00957D90">
        <w:rPr>
          <w:rFonts w:ascii="Arial" w:hAnsi="Arial" w:cs="Arial"/>
        </w:rPr>
        <w:t>Le</w:t>
      </w:r>
      <w:r w:rsidR="00CF5746" w:rsidRPr="00957D90">
        <w:rPr>
          <w:rFonts w:ascii="Arial" w:hAnsi="Arial" w:cs="Arial"/>
        </w:rPr>
        <w:t xml:space="preserve"> performance migliori sono state realizzate in Germania, Gran Bretagna e Portogallo</w:t>
      </w:r>
      <w:r w:rsidRPr="00957D90">
        <w:rPr>
          <w:rFonts w:ascii="Arial" w:hAnsi="Arial" w:cs="Arial"/>
        </w:rPr>
        <w:t>.</w:t>
      </w:r>
      <w:r w:rsidR="00CF5746" w:rsidRPr="00957D90">
        <w:rPr>
          <w:rFonts w:ascii="Arial" w:hAnsi="Arial" w:cs="Arial"/>
        </w:rPr>
        <w:t xml:space="preserve"> </w:t>
      </w:r>
      <w:r w:rsidRPr="00957D90">
        <w:rPr>
          <w:rFonts w:ascii="Arial" w:hAnsi="Arial" w:cs="Arial"/>
        </w:rPr>
        <w:t xml:space="preserve">Il Gruppo, </w:t>
      </w:r>
      <w:r w:rsidR="00CF5746" w:rsidRPr="00957D90">
        <w:rPr>
          <w:rFonts w:ascii="Arial" w:hAnsi="Arial" w:cs="Arial"/>
        </w:rPr>
        <w:t>in quest’ultimo mercato</w:t>
      </w:r>
      <w:r w:rsidRPr="00957D90">
        <w:rPr>
          <w:rFonts w:ascii="Arial" w:hAnsi="Arial" w:cs="Arial"/>
        </w:rPr>
        <w:t>, ha consolidato una posizione di leadership</w:t>
      </w:r>
      <w:r w:rsidR="00CF5746" w:rsidRPr="00957D90">
        <w:rPr>
          <w:rFonts w:ascii="Arial" w:hAnsi="Arial" w:cs="Arial"/>
        </w:rPr>
        <w:t xml:space="preserve"> del settore e continua a crescere a ritmi sostenuti. Il mercato francese, altro mercato di riferimento, ha registrato nel 2019 un fatturato sostanzialmente in linea con il 2018. </w:t>
      </w:r>
      <w:r w:rsidR="00531ECC" w:rsidRPr="00957D90">
        <w:rPr>
          <w:rFonts w:ascii="Arial" w:hAnsi="Arial" w:cs="Arial"/>
        </w:rPr>
        <w:t xml:space="preserve"> </w:t>
      </w:r>
      <w:r w:rsidR="00CF5746" w:rsidRPr="00957D90">
        <w:rPr>
          <w:rFonts w:ascii="Arial" w:hAnsi="Arial" w:cs="Arial"/>
        </w:rPr>
        <w:t>Anche nei Paesi dell’Europa Orientale si sono registrate buone progressioni con una crescita complessiva dell’8%.</w:t>
      </w:r>
    </w:p>
    <w:p w:rsidR="00CF5746" w:rsidRPr="00957D90" w:rsidRDefault="00CF5746" w:rsidP="00CF5746">
      <w:pPr>
        <w:jc w:val="both"/>
        <w:rPr>
          <w:rFonts w:ascii="Arial" w:hAnsi="Arial" w:cs="Arial"/>
        </w:rPr>
      </w:pPr>
      <w:r w:rsidRPr="00957D90">
        <w:rPr>
          <w:rFonts w:ascii="Arial" w:hAnsi="Arial" w:cs="Arial"/>
        </w:rPr>
        <w:t>L’incidenza dei mercati europei sul totale dei ricavi è pari al</w:t>
      </w:r>
      <w:r w:rsidRPr="00957D90">
        <w:rPr>
          <w:rFonts w:ascii="Arial" w:hAnsi="Arial" w:cs="Arial"/>
          <w:b/>
        </w:rPr>
        <w:t xml:space="preserve"> 36%.</w:t>
      </w:r>
    </w:p>
    <w:p w:rsidR="00CF5746" w:rsidRPr="00957D90" w:rsidRDefault="00CF5746" w:rsidP="00CF5746">
      <w:pPr>
        <w:jc w:val="both"/>
        <w:rPr>
          <w:rFonts w:ascii="Arial" w:hAnsi="Arial" w:cs="Arial"/>
        </w:rPr>
      </w:pPr>
    </w:p>
    <w:p w:rsidR="00CF5746" w:rsidRPr="00957D90" w:rsidRDefault="00531ECC" w:rsidP="00CF5746">
      <w:pPr>
        <w:jc w:val="both"/>
        <w:rPr>
          <w:rFonts w:ascii="Arial" w:hAnsi="Arial" w:cs="Arial"/>
        </w:rPr>
      </w:pPr>
      <w:r w:rsidRPr="00957D90">
        <w:rPr>
          <w:rFonts w:ascii="Arial" w:hAnsi="Arial" w:cs="Arial"/>
          <w:b/>
          <w:bCs/>
        </w:rPr>
        <w:t>USA -</w:t>
      </w:r>
      <w:r w:rsidRPr="00957D90">
        <w:rPr>
          <w:rFonts w:ascii="Arial" w:hAnsi="Arial" w:cs="Arial"/>
        </w:rPr>
        <w:t xml:space="preserve"> </w:t>
      </w:r>
      <w:r w:rsidR="00CF5746" w:rsidRPr="00957D90">
        <w:rPr>
          <w:rFonts w:ascii="Arial" w:hAnsi="Arial" w:cs="Arial"/>
        </w:rPr>
        <w:t xml:space="preserve">Il fatturato sul </w:t>
      </w:r>
      <w:r w:rsidR="00CF5746" w:rsidRPr="00957D90">
        <w:rPr>
          <w:rFonts w:ascii="Arial" w:hAnsi="Arial" w:cs="Arial"/>
          <w:b/>
        </w:rPr>
        <w:t>mercato statunitense</w:t>
      </w:r>
      <w:r w:rsidR="00CF5746" w:rsidRPr="00957D90">
        <w:rPr>
          <w:rFonts w:ascii="Arial" w:hAnsi="Arial" w:cs="Arial"/>
        </w:rPr>
        <w:t xml:space="preserve"> è risultato in crescita del 7% in Euro; tale andamento è in parte giustificato dal rafforzamento del Dollaro rispetto all’Euro (+5%), e in parte da un effettivo incremento del volume d’affari (+2%). </w:t>
      </w:r>
    </w:p>
    <w:p w:rsidR="00CF2682" w:rsidRDefault="00CF2682" w:rsidP="00CF5746">
      <w:pPr>
        <w:jc w:val="both"/>
        <w:rPr>
          <w:rFonts w:ascii="Arial" w:hAnsi="Arial" w:cs="Arial"/>
        </w:rPr>
      </w:pPr>
      <w:r w:rsidRPr="00CF2682">
        <w:rPr>
          <w:rFonts w:ascii="Arial" w:hAnsi="Arial" w:cs="Arial"/>
        </w:rPr>
        <w:t>In un mercato in cui consumi ceramici sono stati in calo del 3,5%, hanno pesato anche le pressioni della concorrenza spagnola e cinese, che hanno penalizzato sia gli altri Paesi esportatori, sia i produttori locali, soprattutto nel canale dei grandi distributori.</w:t>
      </w:r>
    </w:p>
    <w:p w:rsidR="00CF5746" w:rsidRPr="00957D90" w:rsidRDefault="00CF5746" w:rsidP="00CF5746">
      <w:pPr>
        <w:jc w:val="both"/>
        <w:rPr>
          <w:rFonts w:ascii="Arial" w:hAnsi="Arial" w:cs="Arial"/>
        </w:rPr>
      </w:pPr>
      <w:r w:rsidRPr="00957D90">
        <w:rPr>
          <w:rFonts w:ascii="Arial" w:hAnsi="Arial" w:cs="Arial"/>
        </w:rPr>
        <w:t>L’incidenza dei mercati statunitensi sul totale dei ricavi è pari al</w:t>
      </w:r>
      <w:r w:rsidRPr="00957D90">
        <w:rPr>
          <w:rFonts w:ascii="Arial" w:hAnsi="Arial" w:cs="Arial"/>
          <w:b/>
        </w:rPr>
        <w:t xml:space="preserve"> 35%.</w:t>
      </w:r>
    </w:p>
    <w:p w:rsidR="00CF5746" w:rsidRPr="00957D90" w:rsidRDefault="00CF5746" w:rsidP="00CF5746">
      <w:pPr>
        <w:jc w:val="both"/>
        <w:rPr>
          <w:rFonts w:ascii="Arial" w:hAnsi="Arial" w:cs="Arial"/>
        </w:rPr>
      </w:pPr>
    </w:p>
    <w:p w:rsidR="00CF5746" w:rsidRPr="00957D90" w:rsidRDefault="00531ECC" w:rsidP="00CF5746">
      <w:pPr>
        <w:jc w:val="both"/>
        <w:rPr>
          <w:rFonts w:ascii="Arial" w:hAnsi="Arial" w:cs="Arial"/>
        </w:rPr>
      </w:pPr>
      <w:r w:rsidRPr="00957D90">
        <w:rPr>
          <w:rFonts w:ascii="Arial" w:hAnsi="Arial" w:cs="Arial"/>
          <w:b/>
          <w:bCs/>
        </w:rPr>
        <w:t>ITALIA -</w:t>
      </w:r>
      <w:r w:rsidRPr="00957D90">
        <w:rPr>
          <w:rFonts w:ascii="Arial" w:hAnsi="Arial" w:cs="Arial"/>
        </w:rPr>
        <w:t xml:space="preserve"> </w:t>
      </w:r>
      <w:r w:rsidR="00696920" w:rsidRPr="00957D90">
        <w:rPr>
          <w:rFonts w:ascii="Arial" w:hAnsi="Arial" w:cs="Arial"/>
        </w:rPr>
        <w:t>Nel</w:t>
      </w:r>
      <w:r w:rsidR="00CF5746" w:rsidRPr="00957D90">
        <w:rPr>
          <w:rFonts w:ascii="Arial" w:hAnsi="Arial" w:cs="Arial"/>
        </w:rPr>
        <w:t xml:space="preserve"> </w:t>
      </w:r>
      <w:r w:rsidR="00CF5746" w:rsidRPr="00957D90">
        <w:rPr>
          <w:rFonts w:ascii="Arial" w:hAnsi="Arial" w:cs="Arial"/>
          <w:b/>
        </w:rPr>
        <w:t>mercato italiano</w:t>
      </w:r>
      <w:r w:rsidR="00CF5746" w:rsidRPr="00957D90">
        <w:rPr>
          <w:rFonts w:ascii="Arial" w:hAnsi="Arial" w:cs="Arial"/>
        </w:rPr>
        <w:t xml:space="preserve"> le vendite del Gruppo </w:t>
      </w:r>
      <w:r w:rsidRPr="00957D90">
        <w:rPr>
          <w:rFonts w:ascii="Arial" w:hAnsi="Arial" w:cs="Arial"/>
        </w:rPr>
        <w:t>hanno registrato un decremento del</w:t>
      </w:r>
      <w:r w:rsidR="00CF5746" w:rsidRPr="00957D90">
        <w:rPr>
          <w:rFonts w:ascii="Arial" w:hAnsi="Arial" w:cs="Arial"/>
        </w:rPr>
        <w:t xml:space="preserve"> 2,8%, </w:t>
      </w:r>
      <w:r w:rsidRPr="00957D90">
        <w:rPr>
          <w:rFonts w:ascii="Arial" w:hAnsi="Arial" w:cs="Arial"/>
        </w:rPr>
        <w:t xml:space="preserve">in uno scenario di mercato ancora </w:t>
      </w:r>
      <w:r w:rsidR="004E7062">
        <w:rPr>
          <w:rFonts w:ascii="Arial" w:hAnsi="Arial" w:cs="Arial"/>
        </w:rPr>
        <w:t>statico</w:t>
      </w:r>
      <w:r w:rsidR="00CF5746" w:rsidRPr="00957D90">
        <w:rPr>
          <w:rFonts w:ascii="Arial" w:hAnsi="Arial" w:cs="Arial"/>
        </w:rPr>
        <w:t>.</w:t>
      </w:r>
      <w:r w:rsidRPr="00957D90">
        <w:rPr>
          <w:rFonts w:ascii="Arial" w:hAnsi="Arial" w:cs="Arial"/>
        </w:rPr>
        <w:t xml:space="preserve"> </w:t>
      </w:r>
      <w:r w:rsidR="00CF5746" w:rsidRPr="00957D90">
        <w:rPr>
          <w:rFonts w:ascii="Arial" w:hAnsi="Arial" w:cs="Arial"/>
        </w:rPr>
        <w:t xml:space="preserve">Nonostante la lieve flessione registrata nel 2019, </w:t>
      </w:r>
      <w:r w:rsidRPr="00957D90">
        <w:rPr>
          <w:rFonts w:ascii="Arial" w:hAnsi="Arial" w:cs="Arial"/>
        </w:rPr>
        <w:t>il Gruppo rimane un</w:t>
      </w:r>
      <w:r w:rsidR="00CF5746" w:rsidRPr="00957D90">
        <w:rPr>
          <w:rFonts w:ascii="Arial" w:hAnsi="Arial" w:cs="Arial"/>
        </w:rPr>
        <w:t xml:space="preserve"> </w:t>
      </w:r>
      <w:r w:rsidR="00CF5746" w:rsidRPr="00957D90">
        <w:rPr>
          <w:rFonts w:ascii="Arial" w:hAnsi="Arial" w:cs="Arial"/>
          <w:i/>
        </w:rPr>
        <w:t>player</w:t>
      </w:r>
      <w:r w:rsidR="00CF5746" w:rsidRPr="00957D90">
        <w:rPr>
          <w:rFonts w:ascii="Arial" w:hAnsi="Arial" w:cs="Arial"/>
        </w:rPr>
        <w:t xml:space="preserve"> di riferimento del mercato domestico.</w:t>
      </w:r>
    </w:p>
    <w:p w:rsidR="00CF5746" w:rsidRPr="00957D90" w:rsidRDefault="00CF5746" w:rsidP="00CF5746">
      <w:pPr>
        <w:jc w:val="both"/>
        <w:rPr>
          <w:rFonts w:ascii="Arial" w:hAnsi="Arial" w:cs="Arial"/>
        </w:rPr>
      </w:pPr>
      <w:r w:rsidRPr="00957D90">
        <w:rPr>
          <w:rFonts w:ascii="Arial" w:hAnsi="Arial" w:cs="Arial"/>
        </w:rPr>
        <w:t xml:space="preserve">L’incidenza del mercato italiano sul totale dei ricavi è pari al </w:t>
      </w:r>
      <w:r w:rsidRPr="00957D90">
        <w:rPr>
          <w:rFonts w:ascii="Arial" w:hAnsi="Arial" w:cs="Arial"/>
          <w:b/>
        </w:rPr>
        <w:t>19%.</w:t>
      </w:r>
      <w:r w:rsidRPr="00957D90">
        <w:rPr>
          <w:rFonts w:ascii="Arial" w:hAnsi="Arial" w:cs="Arial"/>
        </w:rPr>
        <w:t xml:space="preserve"> </w:t>
      </w:r>
    </w:p>
    <w:p w:rsidR="00CF5746" w:rsidRPr="00957D90" w:rsidRDefault="00CF5746" w:rsidP="00CF5746">
      <w:pPr>
        <w:jc w:val="both"/>
        <w:rPr>
          <w:rFonts w:ascii="Arial" w:hAnsi="Arial" w:cs="Arial"/>
        </w:rPr>
      </w:pPr>
    </w:p>
    <w:p w:rsidR="00CF5746" w:rsidRPr="00957D90" w:rsidRDefault="00531ECC" w:rsidP="00CF5746">
      <w:pPr>
        <w:jc w:val="both"/>
        <w:rPr>
          <w:rFonts w:ascii="Arial" w:hAnsi="Arial" w:cs="Arial"/>
        </w:rPr>
      </w:pPr>
      <w:r w:rsidRPr="00957D90">
        <w:rPr>
          <w:rFonts w:ascii="Arial" w:hAnsi="Arial" w:cs="Arial"/>
          <w:b/>
          <w:bCs/>
        </w:rPr>
        <w:t xml:space="preserve">ASIA, CANADA, SUD AMERICA, OCEANIA E AFRICA </w:t>
      </w:r>
      <w:r w:rsidR="008D3B90" w:rsidRPr="00957D90">
        <w:rPr>
          <w:rFonts w:ascii="Arial" w:hAnsi="Arial" w:cs="Arial"/>
          <w:b/>
          <w:bCs/>
        </w:rPr>
        <w:t>-</w:t>
      </w:r>
      <w:r w:rsidR="008D3B90" w:rsidRPr="00957D90">
        <w:rPr>
          <w:rFonts w:ascii="Arial" w:hAnsi="Arial" w:cs="Arial"/>
        </w:rPr>
        <w:t xml:space="preserve"> Gli</w:t>
      </w:r>
      <w:r w:rsidR="00CF5746" w:rsidRPr="00957D90">
        <w:rPr>
          <w:rFonts w:ascii="Arial" w:hAnsi="Arial" w:cs="Arial"/>
        </w:rPr>
        <w:t xml:space="preserve"> </w:t>
      </w:r>
      <w:r w:rsidR="00CF5746" w:rsidRPr="00957D90">
        <w:rPr>
          <w:rFonts w:ascii="Arial" w:hAnsi="Arial" w:cs="Arial"/>
          <w:b/>
        </w:rPr>
        <w:t xml:space="preserve">altri mercati </w:t>
      </w:r>
      <w:r w:rsidR="00CF5746" w:rsidRPr="00957D90">
        <w:rPr>
          <w:rFonts w:ascii="Arial" w:hAnsi="Arial" w:cs="Arial"/>
        </w:rPr>
        <w:t>hanno registrato una crescita di circa l’1%</w:t>
      </w:r>
      <w:r w:rsidR="008D3B90" w:rsidRPr="00957D90">
        <w:rPr>
          <w:rFonts w:ascii="Arial" w:hAnsi="Arial" w:cs="Arial"/>
        </w:rPr>
        <w:t xml:space="preserve">. </w:t>
      </w:r>
      <w:r w:rsidR="00CF5746" w:rsidRPr="00957D90">
        <w:rPr>
          <w:rFonts w:ascii="Arial" w:hAnsi="Arial" w:cs="Arial"/>
        </w:rPr>
        <w:t>In Asia, sono stati ottenuti complessivamente buoni risultati; la contrazione delle vendite nel Medio Oriente, dovuta alle tensioni politiche ed economiche, è stata più che bilanciata dai brillanti risultati sui mercati dell’Estremo Oriente.</w:t>
      </w:r>
    </w:p>
    <w:p w:rsidR="00CF5746" w:rsidRPr="00957D90" w:rsidRDefault="00CF5746" w:rsidP="00CF5746">
      <w:pPr>
        <w:jc w:val="both"/>
        <w:rPr>
          <w:rFonts w:ascii="Arial" w:hAnsi="Arial" w:cs="Arial"/>
        </w:rPr>
      </w:pPr>
      <w:r w:rsidRPr="00957D90">
        <w:rPr>
          <w:rFonts w:ascii="Arial" w:hAnsi="Arial" w:cs="Arial"/>
        </w:rPr>
        <w:t xml:space="preserve">L’incidenza degli “altri mercati” sul totale dei ricavi è pari al </w:t>
      </w:r>
      <w:r w:rsidRPr="00957D90">
        <w:rPr>
          <w:rFonts w:ascii="Arial" w:hAnsi="Arial" w:cs="Arial"/>
          <w:b/>
        </w:rPr>
        <w:t>10%.</w:t>
      </w:r>
    </w:p>
    <w:p w:rsidR="00CF5746" w:rsidRPr="00957D90" w:rsidRDefault="00CF5746" w:rsidP="00CF5746">
      <w:pPr>
        <w:jc w:val="both"/>
        <w:rPr>
          <w:rFonts w:ascii="Arial" w:hAnsi="Arial" w:cs="Arial"/>
        </w:rPr>
      </w:pPr>
    </w:p>
    <w:p w:rsidR="00CF5746" w:rsidRDefault="00CF5746" w:rsidP="00CF5746">
      <w:pPr>
        <w:jc w:val="both"/>
        <w:rPr>
          <w:rFonts w:ascii="Arial" w:hAnsi="Arial" w:cs="Arial"/>
        </w:rPr>
      </w:pPr>
    </w:p>
    <w:p w:rsidR="00CF2682" w:rsidRDefault="00CF2682" w:rsidP="00CF5746">
      <w:pPr>
        <w:jc w:val="both"/>
        <w:rPr>
          <w:rFonts w:ascii="Arial" w:hAnsi="Arial" w:cs="Arial"/>
        </w:rPr>
      </w:pPr>
    </w:p>
    <w:p w:rsidR="00CF2682" w:rsidRDefault="00CF2682" w:rsidP="00CF5746">
      <w:pPr>
        <w:jc w:val="both"/>
        <w:rPr>
          <w:rFonts w:ascii="Arial" w:hAnsi="Arial" w:cs="Arial"/>
        </w:rPr>
      </w:pPr>
    </w:p>
    <w:p w:rsidR="00CF2682" w:rsidRPr="00957D90" w:rsidRDefault="00CF2682" w:rsidP="00CF5746">
      <w:pPr>
        <w:jc w:val="both"/>
        <w:rPr>
          <w:rFonts w:ascii="Arial" w:hAnsi="Arial" w:cs="Arial"/>
        </w:rPr>
      </w:pPr>
    </w:p>
    <w:p w:rsidR="00004E43" w:rsidRPr="00957D90" w:rsidRDefault="00004E43" w:rsidP="00004E43">
      <w:pPr>
        <w:jc w:val="both"/>
        <w:rPr>
          <w:rFonts w:ascii="Arial" w:hAnsi="Arial" w:cs="Arial"/>
          <w:b/>
        </w:rPr>
      </w:pPr>
      <w:r w:rsidRPr="00957D90">
        <w:rPr>
          <w:rFonts w:ascii="Arial" w:hAnsi="Arial" w:cs="Arial"/>
          <w:b/>
        </w:rPr>
        <w:lastRenderedPageBreak/>
        <w:t>MARGINI REDDITUALI</w:t>
      </w:r>
    </w:p>
    <w:p w:rsidR="00004E43" w:rsidRPr="00957D90" w:rsidRDefault="00004E43" w:rsidP="00004E43">
      <w:pPr>
        <w:jc w:val="both"/>
        <w:rPr>
          <w:rFonts w:ascii="Arial" w:hAnsi="Arial" w:cs="Arial"/>
        </w:rPr>
      </w:pPr>
    </w:p>
    <w:p w:rsidR="00004E43" w:rsidRPr="00957D90" w:rsidRDefault="00004E43" w:rsidP="00004E43">
      <w:pPr>
        <w:jc w:val="both"/>
        <w:rPr>
          <w:rFonts w:ascii="Arial" w:hAnsi="Arial" w:cs="Arial"/>
        </w:rPr>
      </w:pPr>
      <w:r w:rsidRPr="00957D90">
        <w:rPr>
          <w:rFonts w:ascii="Arial" w:hAnsi="Arial" w:cs="Arial"/>
          <w:b/>
        </w:rPr>
        <w:t>Il margine operativo lordo</w:t>
      </w:r>
      <w:r w:rsidRPr="00957D90">
        <w:rPr>
          <w:rFonts w:ascii="Arial" w:hAnsi="Arial" w:cs="Arial"/>
        </w:rPr>
        <w:t xml:space="preserve"> consolidato è di </w:t>
      </w:r>
      <w:r w:rsidRPr="00957D90">
        <w:rPr>
          <w:rFonts w:ascii="Arial" w:hAnsi="Arial" w:cs="Arial"/>
          <w:b/>
        </w:rPr>
        <w:t>32,</w:t>
      </w:r>
      <w:r w:rsidR="00CF2682">
        <w:rPr>
          <w:rFonts w:ascii="Arial" w:hAnsi="Arial" w:cs="Arial"/>
          <w:b/>
        </w:rPr>
        <w:t>4</w:t>
      </w:r>
      <w:r w:rsidRPr="00957D90">
        <w:rPr>
          <w:rFonts w:ascii="Arial" w:hAnsi="Arial" w:cs="Arial"/>
          <w:b/>
        </w:rPr>
        <w:t xml:space="preserve"> milioni di euro</w:t>
      </w:r>
      <w:r w:rsidRPr="00957D90">
        <w:rPr>
          <w:rFonts w:ascii="Arial" w:hAnsi="Arial" w:cs="Arial"/>
        </w:rPr>
        <w:t xml:space="preserve"> pari al 8,1% sul Valore della Produzione (31,7 milioni di Euro al 31 dicembre 2018 pari al 8,1 % sul Valore della Produzione).</w:t>
      </w:r>
    </w:p>
    <w:p w:rsidR="00004E43" w:rsidRPr="00957D90" w:rsidRDefault="00004E43" w:rsidP="00004E43">
      <w:pPr>
        <w:jc w:val="both"/>
        <w:rPr>
          <w:rFonts w:ascii="Arial" w:hAnsi="Arial" w:cs="Arial"/>
          <w:color w:val="FF0000"/>
        </w:rPr>
      </w:pPr>
    </w:p>
    <w:p w:rsidR="00004E43" w:rsidRPr="00957D90" w:rsidRDefault="00004E43" w:rsidP="00004E43">
      <w:pPr>
        <w:jc w:val="both"/>
        <w:rPr>
          <w:rFonts w:ascii="Arial" w:hAnsi="Arial" w:cs="Arial"/>
        </w:rPr>
      </w:pPr>
      <w:r w:rsidRPr="00957D90">
        <w:rPr>
          <w:rFonts w:ascii="Arial" w:hAnsi="Arial" w:cs="Arial"/>
        </w:rPr>
        <w:t>Il miglioramento del risultato operativo deriva da dinamiche differenti tra le Business Unit, con una crescita nelle Business Unit italiana e americana ed un calo nella Business Unit portoghese.</w:t>
      </w:r>
    </w:p>
    <w:p w:rsidR="00004E43" w:rsidRPr="00957D90" w:rsidRDefault="00004E43" w:rsidP="00004E43">
      <w:pPr>
        <w:jc w:val="both"/>
        <w:rPr>
          <w:rFonts w:ascii="Arial" w:hAnsi="Arial" w:cs="Arial"/>
        </w:rPr>
      </w:pPr>
    </w:p>
    <w:p w:rsidR="00004E43" w:rsidRPr="00957D90" w:rsidRDefault="00004E43" w:rsidP="00004E43">
      <w:pPr>
        <w:jc w:val="both"/>
        <w:rPr>
          <w:rFonts w:ascii="Arial" w:hAnsi="Arial" w:cs="Arial"/>
        </w:rPr>
      </w:pPr>
      <w:r w:rsidRPr="00957D90">
        <w:rPr>
          <w:rFonts w:ascii="Arial" w:hAnsi="Arial" w:cs="Arial"/>
        </w:rPr>
        <w:t xml:space="preserve">Per quanto concerne la </w:t>
      </w:r>
      <w:r w:rsidRPr="00957D90">
        <w:rPr>
          <w:rFonts w:ascii="Arial" w:hAnsi="Arial" w:cs="Arial"/>
          <w:b/>
        </w:rPr>
        <w:t>Business Unit italiana</w:t>
      </w:r>
      <w:r w:rsidRPr="00957D90">
        <w:rPr>
          <w:rFonts w:ascii="Arial" w:hAnsi="Arial" w:cs="Arial"/>
        </w:rPr>
        <w:t>, le iniziative volte al recuperare la marginalità, che aveva subito un significativo calo nel 2018, hanno iniziato a sortire i primi visibili effetti.</w:t>
      </w:r>
    </w:p>
    <w:p w:rsidR="00004E43" w:rsidRPr="00957D90" w:rsidRDefault="00004E43" w:rsidP="00004E43">
      <w:pPr>
        <w:jc w:val="both"/>
        <w:rPr>
          <w:rFonts w:ascii="Arial" w:hAnsi="Arial" w:cs="Arial"/>
        </w:rPr>
      </w:pPr>
      <w:r w:rsidRPr="00957D90">
        <w:rPr>
          <w:rFonts w:ascii="Arial" w:hAnsi="Arial" w:cs="Arial"/>
        </w:rPr>
        <w:t xml:space="preserve">Pur operando in un contesto di mercato difficile e competitivo, le politiche commerciali adottate hanno dato risultati positivi, con un incremento del volume d’affari, abbinato ad una tenuta dei prezzi di vendita. </w:t>
      </w:r>
    </w:p>
    <w:p w:rsidR="00004E43" w:rsidRPr="00957D90" w:rsidRDefault="00004E43" w:rsidP="00004E43">
      <w:pPr>
        <w:jc w:val="both"/>
        <w:rPr>
          <w:rFonts w:ascii="Arial" w:hAnsi="Arial" w:cs="Arial"/>
        </w:rPr>
      </w:pPr>
      <w:r w:rsidRPr="00957D90">
        <w:rPr>
          <w:rFonts w:ascii="Arial" w:hAnsi="Arial" w:cs="Arial"/>
        </w:rPr>
        <w:t>Si è inoltre interrotta l’ascesa delle tariffe energetiche che aveva condizionato pesantemente tutto il 2018 e la prima parte del 2019; i contratti sottoscritti lasciano prevedere una significativa riduzione per tutto il 2020.</w:t>
      </w:r>
    </w:p>
    <w:p w:rsidR="00004E43" w:rsidRPr="00957D90" w:rsidRDefault="00004E43" w:rsidP="00004E43">
      <w:pPr>
        <w:jc w:val="both"/>
        <w:rPr>
          <w:rFonts w:ascii="Arial" w:hAnsi="Arial" w:cs="Arial"/>
        </w:rPr>
      </w:pPr>
    </w:p>
    <w:p w:rsidR="00004E43" w:rsidRPr="00957D90" w:rsidRDefault="00004E43" w:rsidP="00004E43">
      <w:pPr>
        <w:jc w:val="both"/>
        <w:rPr>
          <w:rFonts w:ascii="Arial" w:hAnsi="Arial" w:cs="Arial"/>
        </w:rPr>
      </w:pPr>
      <w:r w:rsidRPr="00957D90">
        <w:rPr>
          <w:rFonts w:ascii="Arial" w:hAnsi="Arial" w:cs="Arial"/>
        </w:rPr>
        <w:t xml:space="preserve">La </w:t>
      </w:r>
      <w:r w:rsidRPr="00957D90">
        <w:rPr>
          <w:rFonts w:ascii="Arial" w:hAnsi="Arial" w:cs="Arial"/>
          <w:b/>
        </w:rPr>
        <w:t>Business Uni</w:t>
      </w:r>
      <w:r w:rsidRPr="00957D90">
        <w:rPr>
          <w:rFonts w:ascii="Arial" w:hAnsi="Arial" w:cs="Arial"/>
        </w:rPr>
        <w:t>t</w:t>
      </w:r>
      <w:r w:rsidRPr="00957D90">
        <w:rPr>
          <w:rFonts w:ascii="Arial" w:hAnsi="Arial" w:cs="Arial"/>
          <w:b/>
        </w:rPr>
        <w:t xml:space="preserve"> portoghese, </w:t>
      </w:r>
      <w:r w:rsidRPr="00957D90">
        <w:rPr>
          <w:rFonts w:ascii="Arial" w:hAnsi="Arial" w:cs="Arial"/>
        </w:rPr>
        <w:t>ha mantenuto una redditività positiva, ma con un sensibile calo rispetto all’esercizio precedente.</w:t>
      </w:r>
    </w:p>
    <w:p w:rsidR="00004E43" w:rsidRPr="00957D90" w:rsidRDefault="00004E43" w:rsidP="00004E43">
      <w:pPr>
        <w:jc w:val="both"/>
        <w:rPr>
          <w:rFonts w:ascii="Arial" w:hAnsi="Arial" w:cs="Arial"/>
        </w:rPr>
      </w:pPr>
      <w:r w:rsidRPr="00957D90">
        <w:rPr>
          <w:rFonts w:ascii="Arial" w:hAnsi="Arial" w:cs="Arial"/>
        </w:rPr>
        <w:t>Il peggioramento della marginalità è attribuibile, da un lato, al calo del volume d’affari, non sufficientemente compensato dai risparmi conseguiti sui costi commerciali, e dall’altro all’ulteriore appesantimento delle tariffe energetiche, che avevano già gravato in misura importante nel 2018.</w:t>
      </w:r>
    </w:p>
    <w:p w:rsidR="00004E43" w:rsidRPr="00957D90" w:rsidRDefault="00004E43" w:rsidP="00004E43">
      <w:pPr>
        <w:jc w:val="both"/>
        <w:rPr>
          <w:rFonts w:ascii="Arial" w:hAnsi="Arial" w:cs="Arial"/>
        </w:rPr>
      </w:pPr>
      <w:r w:rsidRPr="00957D90">
        <w:rPr>
          <w:rFonts w:ascii="Arial" w:hAnsi="Arial" w:cs="Arial"/>
        </w:rPr>
        <w:t>Su questo fronte, peraltro, anche la BU portoghese beneficerà nel 2020 di un prevedibile importante risparmio.</w:t>
      </w:r>
    </w:p>
    <w:p w:rsidR="00004E43" w:rsidRPr="00957D90" w:rsidRDefault="00004E43" w:rsidP="00004E43">
      <w:pPr>
        <w:jc w:val="both"/>
        <w:rPr>
          <w:rFonts w:ascii="Arial" w:hAnsi="Arial" w:cs="Arial"/>
        </w:rPr>
      </w:pPr>
    </w:p>
    <w:p w:rsidR="00004E43" w:rsidRPr="00957D90" w:rsidRDefault="00004E43" w:rsidP="00004E43">
      <w:pPr>
        <w:jc w:val="both"/>
        <w:rPr>
          <w:rFonts w:ascii="Arial" w:hAnsi="Arial" w:cs="Arial"/>
        </w:rPr>
      </w:pPr>
      <w:r w:rsidRPr="00957D90">
        <w:rPr>
          <w:rFonts w:ascii="Arial" w:hAnsi="Arial" w:cs="Arial"/>
        </w:rPr>
        <w:t>La</w:t>
      </w:r>
      <w:r w:rsidRPr="00957D90">
        <w:rPr>
          <w:rFonts w:ascii="Arial" w:hAnsi="Arial" w:cs="Arial"/>
          <w:b/>
        </w:rPr>
        <w:t xml:space="preserve"> Business Unit statunitense</w:t>
      </w:r>
      <w:r w:rsidRPr="00957D90">
        <w:rPr>
          <w:rFonts w:ascii="Arial" w:hAnsi="Arial" w:cs="Arial"/>
        </w:rPr>
        <w:t xml:space="preserve"> ha ottenuto risultati in </w:t>
      </w:r>
      <w:r w:rsidR="00CF2682">
        <w:rPr>
          <w:rFonts w:ascii="Arial" w:hAnsi="Arial" w:cs="Arial"/>
        </w:rPr>
        <w:t xml:space="preserve">lieve </w:t>
      </w:r>
      <w:r w:rsidRPr="00957D90">
        <w:rPr>
          <w:rFonts w:ascii="Arial" w:hAnsi="Arial" w:cs="Arial"/>
        </w:rPr>
        <w:t>miglioramento rispetto al 201</w:t>
      </w:r>
      <w:r w:rsidR="00295CE9">
        <w:rPr>
          <w:rFonts w:ascii="Arial" w:hAnsi="Arial" w:cs="Arial"/>
        </w:rPr>
        <w:t>8.</w:t>
      </w:r>
    </w:p>
    <w:p w:rsidR="00004E43" w:rsidRPr="00957D90" w:rsidRDefault="00004E43" w:rsidP="00004E43">
      <w:pPr>
        <w:jc w:val="both"/>
        <w:rPr>
          <w:rFonts w:ascii="Arial" w:hAnsi="Arial" w:cs="Arial"/>
        </w:rPr>
      </w:pPr>
      <w:r w:rsidRPr="00957D90">
        <w:rPr>
          <w:rFonts w:ascii="Arial" w:hAnsi="Arial" w:cs="Arial"/>
        </w:rPr>
        <w:t>Il risultato economico della BU americana è stato fortemente condizionato da un utilizzo solo parziale della capacità produttiva fino al mese di Agosto, che peraltro ha consentito di ridurre significativamente il livello del magazzino.</w:t>
      </w:r>
    </w:p>
    <w:p w:rsidR="00004E43" w:rsidRPr="00957D90" w:rsidRDefault="00004E43" w:rsidP="00004E43">
      <w:pPr>
        <w:jc w:val="both"/>
        <w:rPr>
          <w:rFonts w:ascii="Arial" w:hAnsi="Arial" w:cs="Arial"/>
        </w:rPr>
      </w:pPr>
      <w:r w:rsidRPr="00957D90">
        <w:rPr>
          <w:rFonts w:ascii="Arial" w:hAnsi="Arial" w:cs="Arial"/>
        </w:rPr>
        <w:t>L’importante crescita delle vendite sul canale degli Home Center, con un impatto molto sensibile sui volumi di vendita, permetterà, nel 2020, di utilizzare a pieno regime lo stabilmento di Lawrenceburg a un impiego ottimale, con un atteso beneficio economico, grazie al maggiore assorbimento dei costi fissi.</w:t>
      </w:r>
    </w:p>
    <w:p w:rsidR="00004E43" w:rsidRPr="00957D90" w:rsidRDefault="00004E43" w:rsidP="00004E43">
      <w:pPr>
        <w:jc w:val="both"/>
        <w:rPr>
          <w:rFonts w:ascii="Arial" w:hAnsi="Arial" w:cs="Arial"/>
        </w:rPr>
      </w:pPr>
    </w:p>
    <w:p w:rsidR="00004E43" w:rsidRPr="00957D90" w:rsidRDefault="00004E43" w:rsidP="00004E43">
      <w:pPr>
        <w:jc w:val="both"/>
        <w:rPr>
          <w:rFonts w:ascii="Arial" w:hAnsi="Arial" w:cs="Arial"/>
        </w:rPr>
      </w:pPr>
    </w:p>
    <w:p w:rsidR="00004E43" w:rsidRPr="00957D90" w:rsidRDefault="00004E43" w:rsidP="00004E43">
      <w:pPr>
        <w:jc w:val="both"/>
        <w:rPr>
          <w:rFonts w:ascii="Arial" w:hAnsi="Arial" w:cs="Arial"/>
        </w:rPr>
      </w:pPr>
      <w:r w:rsidRPr="00957D90">
        <w:rPr>
          <w:rFonts w:ascii="Arial" w:hAnsi="Arial" w:cs="Arial"/>
        </w:rPr>
        <w:t xml:space="preserve">Il </w:t>
      </w:r>
      <w:r w:rsidRPr="00957D90">
        <w:rPr>
          <w:rFonts w:ascii="Arial" w:hAnsi="Arial" w:cs="Arial"/>
          <w:b/>
        </w:rPr>
        <w:t>margine operativo netto</w:t>
      </w:r>
      <w:r w:rsidRPr="00957D90">
        <w:rPr>
          <w:rFonts w:ascii="Arial" w:hAnsi="Arial" w:cs="Arial"/>
        </w:rPr>
        <w:t xml:space="preserve"> consolidato è negativo di 4,</w:t>
      </w:r>
      <w:r w:rsidR="00CF2682">
        <w:rPr>
          <w:rFonts w:ascii="Arial" w:hAnsi="Arial" w:cs="Arial"/>
        </w:rPr>
        <w:t>9</w:t>
      </w:r>
      <w:r w:rsidRPr="00957D90">
        <w:rPr>
          <w:rFonts w:ascii="Arial" w:hAnsi="Arial" w:cs="Arial"/>
        </w:rPr>
        <w:t xml:space="preserve"> milioni di Euro (nel 2018 negativo di 4,2 milioni di Euro).</w:t>
      </w:r>
    </w:p>
    <w:p w:rsidR="00CF2682" w:rsidRDefault="00CF2682" w:rsidP="00004E43">
      <w:pPr>
        <w:jc w:val="both"/>
        <w:rPr>
          <w:rFonts w:ascii="Arial" w:hAnsi="Arial" w:cs="Arial"/>
        </w:rPr>
      </w:pPr>
    </w:p>
    <w:p w:rsidR="00004E43" w:rsidRPr="00957D90" w:rsidRDefault="00004E43" w:rsidP="00004E43">
      <w:pPr>
        <w:jc w:val="both"/>
        <w:rPr>
          <w:rFonts w:ascii="Arial" w:hAnsi="Arial" w:cs="Arial"/>
        </w:rPr>
      </w:pPr>
      <w:r w:rsidRPr="00957D90">
        <w:rPr>
          <w:rFonts w:ascii="Arial" w:hAnsi="Arial" w:cs="Arial"/>
        </w:rPr>
        <w:t>Gli ammortamenti, ivi inclusi quelli derivanti dai diritti d’uso e gli accantonamenti sono incrementati rispetto al 2018 di 1,</w:t>
      </w:r>
      <w:r w:rsidR="00CF2682">
        <w:rPr>
          <w:rFonts w:ascii="Arial" w:hAnsi="Arial" w:cs="Arial"/>
        </w:rPr>
        <w:t>4</w:t>
      </w:r>
      <w:r w:rsidRPr="00957D90">
        <w:rPr>
          <w:rFonts w:ascii="Arial" w:hAnsi="Arial" w:cs="Arial"/>
        </w:rPr>
        <w:t xml:space="preserve"> milioni di Euro, con un appesantimento sensibile dei risultato operativo netto.</w:t>
      </w:r>
    </w:p>
    <w:p w:rsidR="00004E43" w:rsidRDefault="00004E43" w:rsidP="00004E43">
      <w:pPr>
        <w:jc w:val="both"/>
        <w:rPr>
          <w:rFonts w:ascii="Arial" w:hAnsi="Arial" w:cs="Arial"/>
        </w:rPr>
      </w:pPr>
    </w:p>
    <w:p w:rsidR="00CF2682" w:rsidRDefault="00CF2682" w:rsidP="00004E43">
      <w:pPr>
        <w:jc w:val="both"/>
        <w:rPr>
          <w:rFonts w:ascii="Arial" w:hAnsi="Arial" w:cs="Arial"/>
        </w:rPr>
      </w:pPr>
      <w:r>
        <w:rPr>
          <w:rFonts w:ascii="Arial" w:hAnsi="Arial" w:cs="Arial"/>
        </w:rPr>
        <w:t>La variazione negativa degli Oneri Finanziari è in larga parte dovuta alla “gestione cambi”, che era stata caratterizzata nell’esercizio precedente da un andamento molto positivo.</w:t>
      </w:r>
    </w:p>
    <w:p w:rsidR="00CF2682" w:rsidRPr="00957D90" w:rsidRDefault="00CF2682" w:rsidP="00004E43">
      <w:pPr>
        <w:jc w:val="both"/>
        <w:rPr>
          <w:rFonts w:ascii="Arial" w:hAnsi="Arial" w:cs="Arial"/>
        </w:rPr>
      </w:pPr>
    </w:p>
    <w:p w:rsidR="00004E43" w:rsidRDefault="00004E43" w:rsidP="00004E43">
      <w:pPr>
        <w:jc w:val="both"/>
        <w:rPr>
          <w:rFonts w:ascii="Arial" w:hAnsi="Arial" w:cs="Arial"/>
        </w:rPr>
      </w:pPr>
      <w:r w:rsidRPr="00957D90">
        <w:rPr>
          <w:rFonts w:ascii="Arial" w:hAnsi="Arial" w:cs="Arial"/>
        </w:rPr>
        <w:t xml:space="preserve">Il </w:t>
      </w:r>
      <w:r w:rsidRPr="00957D90">
        <w:rPr>
          <w:rFonts w:ascii="Arial" w:hAnsi="Arial" w:cs="Arial"/>
          <w:b/>
        </w:rPr>
        <w:t>Risultato Netto consolidato</w:t>
      </w:r>
      <w:r w:rsidRPr="00957D90">
        <w:rPr>
          <w:rFonts w:ascii="Arial" w:hAnsi="Arial" w:cs="Arial"/>
        </w:rPr>
        <w:t xml:space="preserve"> è negativo di 6,</w:t>
      </w:r>
      <w:r w:rsidR="00CF2682">
        <w:rPr>
          <w:rFonts w:ascii="Arial" w:hAnsi="Arial" w:cs="Arial"/>
        </w:rPr>
        <w:t>4</w:t>
      </w:r>
      <w:r w:rsidRPr="00957D90">
        <w:rPr>
          <w:rFonts w:ascii="Arial" w:hAnsi="Arial" w:cs="Arial"/>
        </w:rPr>
        <w:t xml:space="preserve"> milioni di Euro (-5,</w:t>
      </w:r>
      <w:r w:rsidR="00CF2682">
        <w:rPr>
          <w:rFonts w:ascii="Arial" w:hAnsi="Arial" w:cs="Arial"/>
        </w:rPr>
        <w:t>1</w:t>
      </w:r>
      <w:r w:rsidRPr="00957D90">
        <w:rPr>
          <w:rFonts w:ascii="Arial" w:hAnsi="Arial" w:cs="Arial"/>
        </w:rPr>
        <w:t xml:space="preserve"> milioni al 31 Dicembre 2018).</w:t>
      </w:r>
    </w:p>
    <w:p w:rsidR="00CF2682" w:rsidRPr="00957D90" w:rsidRDefault="00CF2682" w:rsidP="00004E43">
      <w:pPr>
        <w:jc w:val="both"/>
        <w:rPr>
          <w:rFonts w:ascii="Arial" w:hAnsi="Arial" w:cs="Arial"/>
        </w:rPr>
      </w:pPr>
    </w:p>
    <w:p w:rsidR="00CF5746" w:rsidRPr="00957D90" w:rsidRDefault="00CF5746" w:rsidP="00CF5746">
      <w:pPr>
        <w:jc w:val="both"/>
        <w:rPr>
          <w:rFonts w:ascii="Arial" w:hAnsi="Arial" w:cs="Arial"/>
        </w:rPr>
      </w:pPr>
    </w:p>
    <w:p w:rsidR="00CF5746" w:rsidRPr="00957D90" w:rsidRDefault="009D536B" w:rsidP="008710FE">
      <w:pPr>
        <w:rPr>
          <w:rFonts w:ascii="Arial" w:hAnsi="Arial" w:cs="Arial"/>
          <w:b/>
          <w:bCs/>
        </w:rPr>
      </w:pPr>
      <w:r w:rsidRPr="00957D90">
        <w:rPr>
          <w:rFonts w:ascii="Arial" w:hAnsi="Arial" w:cs="Arial"/>
          <w:b/>
          <w:bCs/>
        </w:rPr>
        <w:t>POSIZIONE FINANZIARIA</w:t>
      </w:r>
    </w:p>
    <w:p w:rsidR="009D536B" w:rsidRPr="00957D90" w:rsidRDefault="009D536B" w:rsidP="008710FE">
      <w:pPr>
        <w:rPr>
          <w:rFonts w:ascii="Arial" w:hAnsi="Arial" w:cs="Arial"/>
        </w:rPr>
      </w:pPr>
    </w:p>
    <w:p w:rsidR="009D536B" w:rsidRPr="00957D90" w:rsidRDefault="00295CE9" w:rsidP="008710FE">
      <w:pPr>
        <w:rPr>
          <w:rFonts w:ascii="Arial" w:hAnsi="Arial" w:cs="Arial"/>
        </w:rPr>
      </w:pPr>
      <w:r>
        <w:rPr>
          <w:rFonts w:ascii="Arial" w:hAnsi="Arial" w:cs="Arial"/>
        </w:rPr>
        <w:t>L’indebitamento finanziario netto</w:t>
      </w:r>
      <w:r w:rsidR="008C346A" w:rsidRPr="00957D90">
        <w:rPr>
          <w:rFonts w:ascii="Arial" w:hAnsi="Arial" w:cs="Arial"/>
        </w:rPr>
        <w:t xml:space="preserve"> </w:t>
      </w:r>
      <w:r w:rsidR="00AA5128">
        <w:rPr>
          <w:rFonts w:ascii="Arial" w:hAnsi="Arial" w:cs="Arial"/>
        </w:rPr>
        <w:t xml:space="preserve">(ante applicazione IFRS 16) </w:t>
      </w:r>
      <w:r w:rsidR="008C346A" w:rsidRPr="00957D90">
        <w:rPr>
          <w:rFonts w:ascii="Arial" w:hAnsi="Arial" w:cs="Arial"/>
        </w:rPr>
        <w:t>è in crescita di 7,1 milioni di Euro rispetto al 31 dicembre 2018 ma in miglioramento di 5,9 milioni di Euro rispetto al trimestre precedente.</w:t>
      </w:r>
    </w:p>
    <w:p w:rsidR="009D536B" w:rsidRPr="00957D90" w:rsidRDefault="009D536B" w:rsidP="008710FE">
      <w:pPr>
        <w:rPr>
          <w:rFonts w:ascii="Arial" w:hAnsi="Arial" w:cs="Arial"/>
        </w:rPr>
      </w:pPr>
    </w:p>
    <w:p w:rsidR="009D536B" w:rsidRPr="00957D90" w:rsidRDefault="009D536B" w:rsidP="008710FE">
      <w:pPr>
        <w:rPr>
          <w:rFonts w:ascii="Arial" w:hAnsi="Arial" w:cs="Arial"/>
          <w:b/>
          <w:bCs/>
        </w:rPr>
      </w:pPr>
      <w:r w:rsidRPr="00957D90">
        <w:rPr>
          <w:rFonts w:ascii="Arial" w:hAnsi="Arial" w:cs="Arial"/>
          <w:b/>
          <w:bCs/>
        </w:rPr>
        <w:t>PATRIMONIO NETTO</w:t>
      </w:r>
    </w:p>
    <w:p w:rsidR="009D536B" w:rsidRPr="00957D90" w:rsidRDefault="009D536B" w:rsidP="008710FE">
      <w:pPr>
        <w:rPr>
          <w:rFonts w:ascii="Arial" w:hAnsi="Arial" w:cs="Arial"/>
        </w:rPr>
      </w:pPr>
    </w:p>
    <w:p w:rsidR="008C346A" w:rsidRDefault="008C346A" w:rsidP="008710FE">
      <w:pPr>
        <w:rPr>
          <w:rFonts w:ascii="Arial" w:hAnsi="Arial" w:cs="Arial"/>
        </w:rPr>
      </w:pPr>
      <w:r w:rsidRPr="00957D90">
        <w:rPr>
          <w:rFonts w:ascii="Arial" w:hAnsi="Arial" w:cs="Arial"/>
        </w:rPr>
        <w:t>Il patrimonio netto del Gruppo è pari a 157,</w:t>
      </w:r>
      <w:r w:rsidR="00EB4F52">
        <w:rPr>
          <w:rFonts w:ascii="Arial" w:hAnsi="Arial" w:cs="Arial"/>
        </w:rPr>
        <w:t>3</w:t>
      </w:r>
      <w:r w:rsidRPr="00957D90">
        <w:rPr>
          <w:rFonts w:ascii="Arial" w:hAnsi="Arial" w:cs="Arial"/>
        </w:rPr>
        <w:t xml:space="preserve"> milioni di euro al 31 dicembre 2019 rispetto ai 163,</w:t>
      </w:r>
      <w:r w:rsidR="00EB4F52">
        <w:rPr>
          <w:rFonts w:ascii="Arial" w:hAnsi="Arial" w:cs="Arial"/>
        </w:rPr>
        <w:t>1</w:t>
      </w:r>
      <w:r w:rsidRPr="00957D90">
        <w:rPr>
          <w:rFonts w:ascii="Arial" w:hAnsi="Arial" w:cs="Arial"/>
        </w:rPr>
        <w:t xml:space="preserve"> milioni di euro al 31 dicembre 2018.</w:t>
      </w:r>
    </w:p>
    <w:p w:rsidR="00EB4F52" w:rsidRDefault="00EB4F52" w:rsidP="008710FE">
      <w:pPr>
        <w:rPr>
          <w:rFonts w:ascii="Arial" w:hAnsi="Arial" w:cs="Arial"/>
        </w:rPr>
      </w:pPr>
    </w:p>
    <w:p w:rsidR="00EB4F52" w:rsidRDefault="00EB4F52" w:rsidP="008710FE">
      <w:pPr>
        <w:rPr>
          <w:rFonts w:ascii="Arial" w:hAnsi="Arial" w:cs="Arial"/>
        </w:rPr>
      </w:pPr>
    </w:p>
    <w:p w:rsidR="00EB4F52" w:rsidRDefault="00EB4F52" w:rsidP="008710FE">
      <w:pPr>
        <w:rPr>
          <w:rFonts w:ascii="Arial" w:hAnsi="Arial" w:cs="Arial"/>
        </w:rPr>
      </w:pPr>
    </w:p>
    <w:p w:rsidR="00EB4F52" w:rsidRDefault="00EB4F52" w:rsidP="008710FE">
      <w:pPr>
        <w:rPr>
          <w:rFonts w:ascii="Arial" w:hAnsi="Arial" w:cs="Arial"/>
        </w:rPr>
      </w:pPr>
    </w:p>
    <w:p w:rsidR="00EB4F52" w:rsidRPr="00957D90" w:rsidRDefault="00EB4F52" w:rsidP="008710FE">
      <w:pPr>
        <w:rPr>
          <w:rFonts w:ascii="Arial" w:hAnsi="Arial" w:cs="Arial"/>
        </w:rPr>
      </w:pPr>
    </w:p>
    <w:p w:rsidR="008C346A" w:rsidRPr="00957D90" w:rsidRDefault="008C346A" w:rsidP="008710FE">
      <w:pPr>
        <w:rPr>
          <w:rFonts w:ascii="Arial" w:hAnsi="Arial" w:cs="Arial"/>
        </w:rPr>
      </w:pPr>
    </w:p>
    <w:p w:rsidR="009D536B" w:rsidRPr="00957D90" w:rsidRDefault="009D536B" w:rsidP="009D536B">
      <w:pPr>
        <w:jc w:val="both"/>
        <w:rPr>
          <w:rFonts w:ascii="Arial" w:hAnsi="Arial" w:cs="Arial"/>
          <w:b/>
        </w:rPr>
      </w:pPr>
      <w:r w:rsidRPr="00957D90">
        <w:rPr>
          <w:rFonts w:ascii="Arial" w:hAnsi="Arial" w:cs="Arial"/>
          <w:b/>
        </w:rPr>
        <w:lastRenderedPageBreak/>
        <w:t>EVOLUZIONE PREVEDIBILE DELLA GESTIONE</w:t>
      </w:r>
    </w:p>
    <w:p w:rsidR="009D536B" w:rsidRPr="00957D90" w:rsidRDefault="009D536B" w:rsidP="009D536B">
      <w:pPr>
        <w:jc w:val="both"/>
        <w:rPr>
          <w:rFonts w:ascii="Arial" w:hAnsi="Arial" w:cs="Arial"/>
        </w:rPr>
      </w:pPr>
    </w:p>
    <w:p w:rsidR="009D536B" w:rsidRPr="00957D90" w:rsidRDefault="006C52A2" w:rsidP="009D536B">
      <w:pPr>
        <w:jc w:val="both"/>
        <w:rPr>
          <w:rFonts w:ascii="Arial" w:hAnsi="Arial" w:cs="Arial"/>
        </w:rPr>
      </w:pPr>
      <w:r>
        <w:rPr>
          <w:rFonts w:ascii="Arial" w:hAnsi="Arial" w:cs="Arial"/>
        </w:rPr>
        <w:t>Per il secondo anno consecutivo il Gruppo ha operato in uno scenario di mercato molto contrastato</w:t>
      </w:r>
      <w:r w:rsidR="00CF4E57">
        <w:rPr>
          <w:rFonts w:ascii="Arial" w:hAnsi="Arial" w:cs="Arial"/>
        </w:rPr>
        <w:t xml:space="preserve"> con un forte inasprimento competitivo</w:t>
      </w:r>
      <w:r>
        <w:rPr>
          <w:rFonts w:ascii="Arial" w:hAnsi="Arial" w:cs="Arial"/>
        </w:rPr>
        <w:t xml:space="preserve">. </w:t>
      </w:r>
      <w:r w:rsidR="009D536B" w:rsidRPr="00A43A5F">
        <w:rPr>
          <w:rFonts w:ascii="Arial" w:hAnsi="Arial" w:cs="Arial"/>
        </w:rPr>
        <w:t>Parallelamente alla politica di presidio dei canali tradizionali, l’apertura e lo sviluppo di canali alternativi quali gli “Home Center” e i “Private Label”, sta consentendo un incremento dei volumi</w:t>
      </w:r>
      <w:r w:rsidR="00E72366">
        <w:rPr>
          <w:rFonts w:ascii="Arial" w:hAnsi="Arial" w:cs="Arial"/>
        </w:rPr>
        <w:t xml:space="preserve"> e</w:t>
      </w:r>
      <w:r w:rsidR="00C56C0F">
        <w:rPr>
          <w:rFonts w:ascii="Arial" w:hAnsi="Arial" w:cs="Arial"/>
        </w:rPr>
        <w:t xml:space="preserve"> un</w:t>
      </w:r>
      <w:r w:rsidR="00E72366">
        <w:rPr>
          <w:rFonts w:ascii="Arial" w:hAnsi="Arial" w:cs="Arial"/>
        </w:rPr>
        <w:t xml:space="preserve"> conseguente maggior utilizzo della capacità produttiva, contribuendo così ad una correzione positiva della marginalità.</w:t>
      </w:r>
    </w:p>
    <w:p w:rsidR="009D536B" w:rsidRPr="00957D90" w:rsidRDefault="009D536B" w:rsidP="009D536B">
      <w:pPr>
        <w:jc w:val="both"/>
        <w:rPr>
          <w:rFonts w:ascii="Arial" w:hAnsi="Arial" w:cs="Arial"/>
        </w:rPr>
      </w:pPr>
    </w:p>
    <w:p w:rsidR="009D536B" w:rsidRPr="00957D90" w:rsidRDefault="009D536B" w:rsidP="009D536B">
      <w:pPr>
        <w:jc w:val="both"/>
        <w:rPr>
          <w:rFonts w:ascii="Arial" w:hAnsi="Arial" w:cs="Arial"/>
        </w:rPr>
      </w:pPr>
      <w:r w:rsidRPr="00957D90">
        <w:rPr>
          <w:rFonts w:ascii="Arial" w:hAnsi="Arial" w:cs="Arial"/>
        </w:rPr>
        <w:t xml:space="preserve">Avendo parzialmente cambiato la composizione delle vendite, caratterizzata da un’incidenza crescente di questi canali, </w:t>
      </w:r>
      <w:r w:rsidR="00C975EC" w:rsidRPr="00957D90">
        <w:rPr>
          <w:rFonts w:ascii="Arial" w:hAnsi="Arial" w:cs="Arial"/>
        </w:rPr>
        <w:t>il Gruppo interverrà</w:t>
      </w:r>
      <w:r w:rsidRPr="00957D90">
        <w:rPr>
          <w:rFonts w:ascii="Arial" w:hAnsi="Arial" w:cs="Arial"/>
        </w:rPr>
        <w:t xml:space="preserve"> nella razionalizzazione e semplificazione dei costi di struttura, su cui </w:t>
      </w:r>
      <w:r w:rsidR="00C975EC" w:rsidRPr="00957D90">
        <w:rPr>
          <w:rFonts w:ascii="Arial" w:hAnsi="Arial" w:cs="Arial"/>
        </w:rPr>
        <w:t>ha</w:t>
      </w:r>
      <w:r w:rsidRPr="00957D90">
        <w:rPr>
          <w:rFonts w:ascii="Arial" w:hAnsi="Arial" w:cs="Arial"/>
        </w:rPr>
        <w:t xml:space="preserve"> già cominciato a lavorare con decisione.</w:t>
      </w:r>
      <w:r w:rsidR="006E2FBE">
        <w:rPr>
          <w:rFonts w:ascii="Arial" w:hAnsi="Arial" w:cs="Arial"/>
        </w:rPr>
        <w:t xml:space="preserve"> </w:t>
      </w:r>
      <w:r w:rsidRPr="00957D90">
        <w:rPr>
          <w:rFonts w:ascii="Arial" w:hAnsi="Arial" w:cs="Arial"/>
        </w:rPr>
        <w:t xml:space="preserve">Con altrettanta determinazione </w:t>
      </w:r>
      <w:r w:rsidR="00C975EC" w:rsidRPr="00957D90">
        <w:rPr>
          <w:rFonts w:ascii="Arial" w:hAnsi="Arial" w:cs="Arial"/>
        </w:rPr>
        <w:t>il Gruppo sta</w:t>
      </w:r>
      <w:r w:rsidRPr="00957D90">
        <w:rPr>
          <w:rFonts w:ascii="Arial" w:hAnsi="Arial" w:cs="Arial"/>
        </w:rPr>
        <w:t xml:space="preserve"> procedendo ad un sistematico lavoro di ottimizzazione in tutte le Business Unit e in tutte le aree aziendali</w:t>
      </w:r>
      <w:r w:rsidR="00217862" w:rsidRPr="00957D90">
        <w:rPr>
          <w:rFonts w:ascii="Arial" w:hAnsi="Arial" w:cs="Arial"/>
        </w:rPr>
        <w:t>.</w:t>
      </w:r>
    </w:p>
    <w:p w:rsidR="009D536B" w:rsidRDefault="009D536B" w:rsidP="009D536B">
      <w:pPr>
        <w:jc w:val="both"/>
        <w:rPr>
          <w:rFonts w:ascii="Arial" w:hAnsi="Arial" w:cs="Arial"/>
        </w:rPr>
      </w:pPr>
    </w:p>
    <w:p w:rsidR="002811E7" w:rsidRPr="00957D90" w:rsidRDefault="002811E7" w:rsidP="009D536B">
      <w:pPr>
        <w:jc w:val="both"/>
        <w:rPr>
          <w:rFonts w:ascii="Arial" w:hAnsi="Arial" w:cs="Arial"/>
        </w:rPr>
      </w:pPr>
      <w:r>
        <w:rPr>
          <w:rFonts w:ascii="Arial" w:hAnsi="Arial" w:cs="Arial"/>
        </w:rPr>
        <w:t xml:space="preserve">Con l’obiettivo di garantire la massima efficienza sul piano industriale il Gruppo concentrerà la propria attenzione sullo sviluppo </w:t>
      </w:r>
      <w:r w:rsidR="008631B5">
        <w:rPr>
          <w:rFonts w:ascii="Arial" w:hAnsi="Arial" w:cs="Arial"/>
        </w:rPr>
        <w:t xml:space="preserve">dei </w:t>
      </w:r>
      <w:r>
        <w:rPr>
          <w:rFonts w:ascii="Arial" w:hAnsi="Arial" w:cs="Arial"/>
        </w:rPr>
        <w:t>prodotti</w:t>
      </w:r>
      <w:r w:rsidR="008631B5">
        <w:rPr>
          <w:rFonts w:ascii="Arial" w:hAnsi="Arial" w:cs="Arial"/>
        </w:rPr>
        <w:t xml:space="preserve"> e</w:t>
      </w:r>
      <w:r>
        <w:rPr>
          <w:rFonts w:ascii="Arial" w:hAnsi="Arial" w:cs="Arial"/>
        </w:rPr>
        <w:t xml:space="preserve"> </w:t>
      </w:r>
      <w:r w:rsidR="00340C68">
        <w:rPr>
          <w:rFonts w:ascii="Arial" w:hAnsi="Arial" w:cs="Arial"/>
        </w:rPr>
        <w:t xml:space="preserve">su </w:t>
      </w:r>
      <w:r>
        <w:rPr>
          <w:rFonts w:ascii="Arial" w:hAnsi="Arial" w:cs="Arial"/>
        </w:rPr>
        <w:t>progetti di miglioramento relativi alla standardizzazione dei processi, all’eliminazione delle inefficienze, all’incremento della produttività e alla riduzione dei costi.</w:t>
      </w:r>
    </w:p>
    <w:p w:rsidR="009D536B" w:rsidRPr="00957D90" w:rsidRDefault="009D536B" w:rsidP="009D536B">
      <w:pPr>
        <w:jc w:val="both"/>
        <w:rPr>
          <w:rFonts w:ascii="Arial" w:hAnsi="Arial" w:cs="Arial"/>
        </w:rPr>
      </w:pPr>
      <w:r w:rsidRPr="00957D90">
        <w:rPr>
          <w:rFonts w:ascii="Arial" w:hAnsi="Arial" w:cs="Arial"/>
        </w:rPr>
        <w:t>Un importante fattore di miglioramento sarà costituito dalla riduzione delle tariffe energetiche che, dopo due anni particolarmente gravosi, consentirà un importante calo dei costi di produzione.</w:t>
      </w:r>
    </w:p>
    <w:p w:rsidR="009D536B" w:rsidRPr="00957D90" w:rsidRDefault="00A0783B" w:rsidP="009D536B">
      <w:pPr>
        <w:jc w:val="both"/>
        <w:rPr>
          <w:rFonts w:ascii="Arial" w:hAnsi="Arial" w:cs="Arial"/>
        </w:rPr>
      </w:pPr>
      <w:r>
        <w:rPr>
          <w:rFonts w:ascii="Arial" w:hAnsi="Arial" w:cs="Arial"/>
        </w:rPr>
        <w:t xml:space="preserve">Così come un </w:t>
      </w:r>
      <w:r w:rsidR="009D536B" w:rsidRPr="00957D90">
        <w:rPr>
          <w:rFonts w:ascii="Arial" w:hAnsi="Arial" w:cs="Arial"/>
        </w:rPr>
        <w:t>altro fattore esogeno positivo è costituito dall’entrata in vigore dei dazi anti-dumping negli USA sui prodotti di provenienza cinese, la cui applicazione, iniziata nell’ultimo trimestre 2019, renderà contendibile una significativa quota di mercato in precedenza da loro presidiata.</w:t>
      </w:r>
    </w:p>
    <w:p w:rsidR="009D536B" w:rsidRPr="00957D90" w:rsidRDefault="009D536B" w:rsidP="009D536B">
      <w:pPr>
        <w:jc w:val="both"/>
        <w:rPr>
          <w:rFonts w:ascii="Arial" w:hAnsi="Arial" w:cs="Arial"/>
        </w:rPr>
      </w:pPr>
    </w:p>
    <w:p w:rsidR="00176927" w:rsidRPr="00957D90" w:rsidRDefault="009D536B" w:rsidP="009D536B">
      <w:pPr>
        <w:jc w:val="both"/>
        <w:rPr>
          <w:rFonts w:ascii="Arial" w:hAnsi="Arial" w:cs="Arial"/>
        </w:rPr>
      </w:pPr>
      <w:r w:rsidRPr="00957D90">
        <w:rPr>
          <w:rFonts w:ascii="Arial" w:hAnsi="Arial" w:cs="Arial"/>
        </w:rPr>
        <w:t>A</w:t>
      </w:r>
      <w:r w:rsidR="00176927" w:rsidRPr="00957D90">
        <w:rPr>
          <w:rFonts w:ascii="Arial" w:hAnsi="Arial" w:cs="Arial"/>
        </w:rPr>
        <w:t>ssieme a</w:t>
      </w:r>
      <w:r w:rsidRPr="00957D90">
        <w:rPr>
          <w:rFonts w:ascii="Arial" w:hAnsi="Arial" w:cs="Arial"/>
        </w:rPr>
        <w:t xml:space="preserve"> questi elementi positivi </w:t>
      </w:r>
      <w:r w:rsidR="00176927" w:rsidRPr="00957D90">
        <w:rPr>
          <w:rFonts w:ascii="Arial" w:hAnsi="Arial" w:cs="Arial"/>
        </w:rPr>
        <w:t>occorre tener conto dell’attualità legata</w:t>
      </w:r>
      <w:r w:rsidRPr="00957D90">
        <w:rPr>
          <w:rFonts w:ascii="Arial" w:hAnsi="Arial" w:cs="Arial"/>
        </w:rPr>
        <w:t xml:space="preserve"> alla diffusione del Coronavirus COVID-19, </w:t>
      </w:r>
      <w:r w:rsidR="00176927" w:rsidRPr="00957D90">
        <w:rPr>
          <w:rFonts w:ascii="Arial" w:hAnsi="Arial" w:cs="Arial"/>
        </w:rPr>
        <w:t xml:space="preserve">che ha assunto in queste ore il fenomeno di Pandemia. Lo scenario non è ancora pienamente decifrabile, ma avrà probabili ricadute sull’intero sistema economico. L’azienda ha sin qui assunto tutte le misure di piena responsabilità per garantire la salute dei propri dipendenti </w:t>
      </w:r>
      <w:r w:rsidR="00857CB2">
        <w:rPr>
          <w:rFonts w:ascii="Arial" w:hAnsi="Arial" w:cs="Arial"/>
        </w:rPr>
        <w:t>nel</w:t>
      </w:r>
      <w:r w:rsidR="00176927" w:rsidRPr="00957D90">
        <w:rPr>
          <w:rFonts w:ascii="Arial" w:hAnsi="Arial" w:cs="Arial"/>
        </w:rPr>
        <w:t xml:space="preserve"> pieno rispetto delle direttive emanate dal Governo. In uno scenario tanto incerto Panariagroup procederà rafforzando le attività intraprese per il recupero della marginalità, coordinandole con le azioni necessarie per la salvaguardia della situazione patrimoniale e finanziaria del Gruppo.</w:t>
      </w:r>
    </w:p>
    <w:p w:rsidR="00176927" w:rsidRPr="00957D90" w:rsidRDefault="00176927" w:rsidP="009D536B">
      <w:pPr>
        <w:jc w:val="both"/>
        <w:rPr>
          <w:rFonts w:ascii="Arial" w:hAnsi="Arial" w:cs="Arial"/>
        </w:rPr>
      </w:pPr>
    </w:p>
    <w:p w:rsidR="009D536B" w:rsidRPr="00957D90" w:rsidRDefault="00857CB2" w:rsidP="009D536B">
      <w:pPr>
        <w:jc w:val="both"/>
        <w:rPr>
          <w:rFonts w:ascii="Arial" w:hAnsi="Arial" w:cs="Arial"/>
        </w:rPr>
      </w:pPr>
      <w:r>
        <w:rPr>
          <w:rFonts w:ascii="Arial" w:hAnsi="Arial" w:cs="Arial"/>
        </w:rPr>
        <w:t>Il Gruppo ha sempre</w:t>
      </w:r>
      <w:r w:rsidR="009D536B" w:rsidRPr="00957D90">
        <w:rPr>
          <w:rFonts w:ascii="Arial" w:hAnsi="Arial" w:cs="Arial"/>
        </w:rPr>
        <w:t xml:space="preserve"> sostenuto e tuttora siamo confidenti, che il </w:t>
      </w:r>
      <w:r>
        <w:rPr>
          <w:rFonts w:ascii="Arial" w:hAnsi="Arial" w:cs="Arial"/>
        </w:rPr>
        <w:t>proprio</w:t>
      </w:r>
      <w:r w:rsidR="009D536B" w:rsidRPr="00957D90">
        <w:rPr>
          <w:rFonts w:ascii="Arial" w:hAnsi="Arial" w:cs="Arial"/>
        </w:rPr>
        <w:t xml:space="preserve"> posizionamento strategico</w:t>
      </w:r>
      <w:r>
        <w:rPr>
          <w:rFonts w:ascii="Arial" w:hAnsi="Arial" w:cs="Arial"/>
        </w:rPr>
        <w:t>,</w:t>
      </w:r>
      <w:r w:rsidR="009D536B" w:rsidRPr="00957D90">
        <w:rPr>
          <w:rFonts w:ascii="Arial" w:hAnsi="Arial" w:cs="Arial"/>
        </w:rPr>
        <w:t xml:space="preserve"> unito all’elevato livello di internazionalizzazione, all’aggiornamento continuo in campo tecnologico e all’offerta di prodotti sempre innovativi, permetteranno di contrastare questo difficile momento </w:t>
      </w:r>
      <w:r>
        <w:rPr>
          <w:rFonts w:ascii="Arial" w:hAnsi="Arial" w:cs="Arial"/>
        </w:rPr>
        <w:t>cogliendo</w:t>
      </w:r>
      <w:r w:rsidR="009D536B" w:rsidRPr="00957D90">
        <w:rPr>
          <w:rFonts w:ascii="Arial" w:hAnsi="Arial" w:cs="Arial"/>
        </w:rPr>
        <w:t xml:space="preserve"> tempestivamente le opportunità derivanti dalla auspicabile risoluzione di questa emergenza globale.</w:t>
      </w:r>
    </w:p>
    <w:p w:rsidR="009D536B" w:rsidRPr="00957D90" w:rsidRDefault="009D536B" w:rsidP="009D536B">
      <w:pPr>
        <w:jc w:val="both"/>
        <w:rPr>
          <w:rFonts w:ascii="Arial" w:hAnsi="Arial" w:cs="Arial"/>
        </w:rPr>
      </w:pPr>
      <w:r w:rsidRPr="00957D90">
        <w:rPr>
          <w:rFonts w:ascii="Arial" w:hAnsi="Arial" w:cs="Arial"/>
        </w:rPr>
        <w:t xml:space="preserve"> </w:t>
      </w:r>
    </w:p>
    <w:p w:rsidR="009D536B" w:rsidRPr="00957D90" w:rsidRDefault="009D536B" w:rsidP="008710FE">
      <w:pPr>
        <w:rPr>
          <w:rFonts w:ascii="Arial" w:hAnsi="Arial" w:cs="Arial"/>
        </w:rPr>
      </w:pPr>
    </w:p>
    <w:p w:rsidR="00F37846" w:rsidRPr="00F37846" w:rsidRDefault="00F37846" w:rsidP="00F37846">
      <w:pPr>
        <w:jc w:val="both"/>
        <w:rPr>
          <w:rFonts w:ascii="Arial" w:hAnsi="Arial" w:cs="Arial"/>
          <w:b/>
          <w:bCs/>
        </w:rPr>
      </w:pPr>
      <w:r w:rsidRPr="00F37846">
        <w:rPr>
          <w:rFonts w:ascii="Arial" w:hAnsi="Arial" w:cs="Arial"/>
          <w:b/>
          <w:bCs/>
        </w:rPr>
        <w:t>CONVOCAZIONE DELL’ASSEMBLEA  </w:t>
      </w:r>
    </w:p>
    <w:p w:rsidR="00F37846" w:rsidRPr="00F37846" w:rsidRDefault="00F37846" w:rsidP="00F37846">
      <w:pPr>
        <w:jc w:val="both"/>
        <w:rPr>
          <w:rFonts w:ascii="Arial" w:hAnsi="Arial" w:cs="Arial"/>
          <w:b/>
          <w:bCs/>
        </w:rPr>
      </w:pPr>
    </w:p>
    <w:p w:rsidR="00F37846" w:rsidRPr="00F37846" w:rsidRDefault="00F37846" w:rsidP="00F37846">
      <w:pPr>
        <w:spacing w:after="120" w:line="247" w:lineRule="auto"/>
        <w:ind w:right="113"/>
        <w:jc w:val="both"/>
        <w:rPr>
          <w:rFonts w:ascii="Arial" w:hAnsi="Arial" w:cs="Arial"/>
        </w:rPr>
      </w:pPr>
      <w:r w:rsidRPr="00F37846">
        <w:rPr>
          <w:rFonts w:ascii="Arial" w:hAnsi="Arial" w:cs="Arial"/>
        </w:rPr>
        <w:t xml:space="preserve">Il Consiglio di Amministrazione di Panariagroup ha approvato le delibere e conferito i poteri necessari a dar seguito alla convocazione dell’Assemblea ordinaria della Società, con avviso che  verrà  pubblicato  non  oltre  il  18  marzo  2020,  sul  sito  </w:t>
      </w:r>
      <w:r w:rsidRPr="00F37846">
        <w:rPr>
          <w:rFonts w:ascii="Arial" w:hAnsi="Arial" w:cs="Arial"/>
          <w:i/>
          <w:iCs/>
        </w:rPr>
        <w:t>internet</w:t>
      </w:r>
      <w:r w:rsidRPr="00F37846">
        <w:rPr>
          <w:rFonts w:ascii="Arial" w:hAnsi="Arial" w:cs="Arial"/>
        </w:rPr>
        <w:t xml:space="preserve">  della  Società  all’indirizzo  </w:t>
      </w:r>
      <w:hyperlink r:id="rId9" w:history="1">
        <w:r w:rsidRPr="00F37846">
          <w:rPr>
            <w:rFonts w:ascii="Arial" w:hAnsi="Arial" w:cs="Arial"/>
            <w:color w:val="0000FF"/>
            <w:u w:val="single"/>
          </w:rPr>
          <w:t>www.panariagroup.it</w:t>
        </w:r>
      </w:hyperlink>
      <w:r w:rsidRPr="00F37846">
        <w:rPr>
          <w:rFonts w:ascii="Arial" w:hAnsi="Arial" w:cs="Arial"/>
        </w:rPr>
        <w:t xml:space="preserve">,  sul  meccanismo  di  stoccaggio  autorizzato  “1Info”  all'indirizzo  </w:t>
      </w:r>
      <w:hyperlink r:id="rId10" w:history="1">
        <w:r w:rsidRPr="00F37846">
          <w:rPr>
            <w:rFonts w:ascii="Arial" w:hAnsi="Arial" w:cs="Arial"/>
            <w:color w:val="0000FF"/>
            <w:u w:val="single"/>
          </w:rPr>
          <w:t>www.1info.it</w:t>
        </w:r>
      </w:hyperlink>
      <w:r w:rsidRPr="00F37846">
        <w:rPr>
          <w:rFonts w:ascii="Arial" w:hAnsi="Arial" w:cs="Arial"/>
        </w:rPr>
        <w:t>, sul sito di Borsa Italiana S.p.A. e, per estratto, sulla Gazzetta Ufficial</w:t>
      </w:r>
      <w:r w:rsidRPr="00F37846">
        <w:rPr>
          <w:rFonts w:ascii="Arial" w:hAnsi="Arial" w:cs="Arial"/>
          <w:w w:val="105"/>
        </w:rPr>
        <w:t xml:space="preserve">e e sul Gazzetta Ufficiale della Repubblica Italiana </w:t>
      </w:r>
      <w:r w:rsidRPr="00F37846">
        <w:rPr>
          <w:rFonts w:ascii="Arial" w:hAnsi="Arial" w:cs="Arial"/>
        </w:rPr>
        <w:t xml:space="preserve">che si terrà presso la sede sociale a Finale Emilia (Modena) in Via Panaria Bassa 22/A in unica convocazione, alle ore 10:00 del giorno 28 aprile 2020. L’Assemblea degli Azionisti sarà chiamata a deliberare sul seguente ordine del giorno:  </w:t>
      </w:r>
    </w:p>
    <w:p w:rsidR="00F37846" w:rsidRPr="00F37846" w:rsidRDefault="00F37846" w:rsidP="00F37846">
      <w:pPr>
        <w:jc w:val="both"/>
        <w:rPr>
          <w:rFonts w:ascii="Arial" w:hAnsi="Arial" w:cs="Arial"/>
        </w:rPr>
      </w:pPr>
    </w:p>
    <w:p w:rsidR="00F37846" w:rsidRPr="00F37846" w:rsidRDefault="00F37846" w:rsidP="00F37846">
      <w:pPr>
        <w:numPr>
          <w:ilvl w:val="0"/>
          <w:numId w:val="48"/>
        </w:numPr>
        <w:ind w:hanging="578"/>
        <w:contextualSpacing/>
        <w:jc w:val="both"/>
        <w:rPr>
          <w:rFonts w:ascii="Arial" w:hAnsi="Arial" w:cs="Arial"/>
          <w:lang w:eastAsia="x-none"/>
        </w:rPr>
      </w:pPr>
      <w:r w:rsidRPr="00F37846">
        <w:rPr>
          <w:rFonts w:ascii="Arial" w:hAnsi="Arial" w:cs="Arial"/>
          <w:lang w:val="x-none" w:eastAsia="x-none"/>
        </w:rPr>
        <w:t xml:space="preserve">Presentazione del bilancio consolidato del gruppo Panariagroup e approvazione del bilancio d’esercizio al 31 dicembre </w:t>
      </w:r>
      <w:r w:rsidRPr="00F37846">
        <w:rPr>
          <w:rFonts w:ascii="Arial" w:hAnsi="Arial" w:cs="Arial"/>
          <w:lang w:eastAsia="x-none"/>
        </w:rPr>
        <w:t>2019</w:t>
      </w:r>
      <w:r w:rsidRPr="00F37846">
        <w:rPr>
          <w:rFonts w:ascii="Arial" w:hAnsi="Arial" w:cs="Arial"/>
          <w:lang w:val="x-none" w:eastAsia="x-none"/>
        </w:rPr>
        <w:t>; delibere inerenti e conseguenti</w:t>
      </w:r>
      <w:r w:rsidRPr="00F37846">
        <w:rPr>
          <w:rFonts w:ascii="Arial" w:hAnsi="Arial" w:cs="Arial"/>
          <w:lang w:eastAsia="x-none"/>
        </w:rPr>
        <w:t>.</w:t>
      </w:r>
    </w:p>
    <w:p w:rsidR="00F37846" w:rsidRPr="00F37846" w:rsidRDefault="00F37846" w:rsidP="00F37846">
      <w:pPr>
        <w:ind w:hanging="578"/>
        <w:jc w:val="both"/>
        <w:rPr>
          <w:rFonts w:ascii="Arial" w:hAnsi="Arial" w:cs="Arial"/>
          <w:lang w:eastAsia="x-none"/>
        </w:rPr>
      </w:pPr>
    </w:p>
    <w:p w:rsidR="00F37846" w:rsidRPr="00F37846" w:rsidRDefault="00F37846" w:rsidP="00F37846">
      <w:pPr>
        <w:numPr>
          <w:ilvl w:val="0"/>
          <w:numId w:val="48"/>
        </w:numPr>
        <w:ind w:hanging="578"/>
        <w:contextualSpacing/>
        <w:jc w:val="both"/>
        <w:rPr>
          <w:rFonts w:ascii="Arial" w:hAnsi="Arial" w:cs="Arial"/>
          <w:lang w:val="x-none" w:eastAsia="x-none"/>
        </w:rPr>
      </w:pPr>
      <w:r w:rsidRPr="00F37846">
        <w:rPr>
          <w:rFonts w:ascii="Arial" w:hAnsi="Arial" w:cs="Arial"/>
          <w:lang w:val="x-none" w:eastAsia="x-none"/>
        </w:rPr>
        <w:t>Deliberazioni inerenti alla relazione sulla politica in materia di remunerazione e sui compensi corrisposti relativa ai componenti degli organi di amministrazione e di controllo, ai direttori generali e ai dirigenti con responsabilità strategiche della Società.</w:t>
      </w:r>
    </w:p>
    <w:p w:rsidR="00F37846" w:rsidRPr="00F37846" w:rsidRDefault="00F37846" w:rsidP="00F37846">
      <w:pPr>
        <w:ind w:left="1134" w:hanging="425"/>
        <w:jc w:val="both"/>
        <w:rPr>
          <w:rFonts w:ascii="Arial" w:hAnsi="Arial" w:cs="Arial"/>
          <w:lang w:val="x-none" w:eastAsia="x-none"/>
        </w:rPr>
      </w:pPr>
      <w:r w:rsidRPr="00F37846">
        <w:rPr>
          <w:rFonts w:ascii="Arial" w:hAnsi="Arial" w:cs="Arial"/>
          <w:lang w:val="x-none" w:eastAsia="x-none"/>
        </w:rPr>
        <w:t>2.1</w:t>
      </w:r>
      <w:r w:rsidRPr="00F37846">
        <w:rPr>
          <w:rFonts w:ascii="Arial" w:hAnsi="Arial" w:cs="Arial"/>
          <w:lang w:val="x-none" w:eastAsia="x-none"/>
        </w:rPr>
        <w:tab/>
        <w:t>Voto vincolante sulla politica in materia di remunerazione relativa all’esercizio 2020 illustrata nella prima sezione della relazione; delibere inerenti e conseguenti;</w:t>
      </w:r>
    </w:p>
    <w:p w:rsidR="00F37846" w:rsidRPr="00F37846" w:rsidRDefault="00F37846" w:rsidP="00F37846">
      <w:pPr>
        <w:ind w:left="1134" w:hanging="425"/>
        <w:jc w:val="both"/>
        <w:rPr>
          <w:rFonts w:ascii="Arial" w:hAnsi="Arial" w:cs="Arial"/>
          <w:lang w:val="x-none" w:eastAsia="x-none"/>
        </w:rPr>
      </w:pPr>
      <w:r w:rsidRPr="00F37846">
        <w:rPr>
          <w:rFonts w:ascii="Arial" w:hAnsi="Arial" w:cs="Arial"/>
          <w:lang w:val="x-none" w:eastAsia="x-none"/>
        </w:rPr>
        <w:t>2.2</w:t>
      </w:r>
      <w:r w:rsidRPr="00F37846">
        <w:rPr>
          <w:rFonts w:ascii="Arial" w:hAnsi="Arial" w:cs="Arial"/>
          <w:lang w:val="x-none" w:eastAsia="x-none"/>
        </w:rPr>
        <w:tab/>
        <w:t>Consultazione sulla seconda sezione della relazione avente ad oggetto l’indicazione dei compensi corrisposti nell’esercizio 2019 o ad esso relativi; delibere inerenti e conseguenti.</w:t>
      </w:r>
    </w:p>
    <w:p w:rsidR="00F37846" w:rsidRPr="00F37846" w:rsidRDefault="00F37846" w:rsidP="00F37846">
      <w:pPr>
        <w:ind w:left="709" w:hanging="578"/>
        <w:jc w:val="both"/>
        <w:rPr>
          <w:rFonts w:ascii="Arial" w:hAnsi="Arial" w:cs="Arial"/>
          <w:lang w:eastAsia="x-none"/>
        </w:rPr>
      </w:pPr>
    </w:p>
    <w:p w:rsidR="00F37846" w:rsidRPr="00F37846" w:rsidRDefault="00F37846" w:rsidP="00F37846">
      <w:pPr>
        <w:numPr>
          <w:ilvl w:val="0"/>
          <w:numId w:val="48"/>
        </w:numPr>
        <w:ind w:hanging="578"/>
        <w:contextualSpacing/>
        <w:jc w:val="both"/>
        <w:rPr>
          <w:rFonts w:ascii="Arial" w:hAnsi="Arial" w:cs="Arial"/>
          <w:iCs/>
        </w:rPr>
      </w:pPr>
      <w:r w:rsidRPr="00F37846">
        <w:rPr>
          <w:rFonts w:ascii="Arial" w:hAnsi="Arial" w:cs="Arial"/>
          <w:iCs/>
        </w:rPr>
        <w:lastRenderedPageBreak/>
        <w:t>Determinazione del numero e nomina dei componenti del Consiglio di Amministrazione per il triennio 2020-2022; determinazione del relativo compenso; delibere inerenti e conseguenti.</w:t>
      </w:r>
    </w:p>
    <w:p w:rsidR="00F37846" w:rsidRPr="00F37846" w:rsidRDefault="00F37846" w:rsidP="00F37846">
      <w:pPr>
        <w:ind w:hanging="578"/>
        <w:jc w:val="both"/>
        <w:rPr>
          <w:rFonts w:ascii="Arial" w:hAnsi="Arial" w:cs="Arial"/>
          <w:lang w:eastAsia="x-none"/>
        </w:rPr>
      </w:pPr>
    </w:p>
    <w:p w:rsidR="00F37846" w:rsidRPr="00F37846" w:rsidRDefault="00F37846" w:rsidP="00F37846">
      <w:pPr>
        <w:numPr>
          <w:ilvl w:val="0"/>
          <w:numId w:val="48"/>
        </w:numPr>
        <w:ind w:hanging="578"/>
        <w:contextualSpacing/>
        <w:jc w:val="both"/>
        <w:rPr>
          <w:rFonts w:ascii="Arial" w:hAnsi="Arial" w:cs="Arial"/>
          <w:lang w:eastAsia="x-none"/>
        </w:rPr>
      </w:pPr>
      <w:r w:rsidRPr="00F37846">
        <w:rPr>
          <w:rFonts w:ascii="Arial" w:hAnsi="Arial" w:cs="Arial"/>
          <w:lang w:val="x-none" w:eastAsia="x-none"/>
        </w:rPr>
        <w:t>Rinnovo dell’autorizzazione all’acquisto e alla vendita di azioni proprie; delibere inerenti e conseguenti.</w:t>
      </w:r>
    </w:p>
    <w:p w:rsidR="00F37846" w:rsidRPr="00F37846" w:rsidRDefault="00F37846" w:rsidP="00F37846">
      <w:pPr>
        <w:jc w:val="both"/>
        <w:rPr>
          <w:rFonts w:ascii="Arial" w:hAnsi="Arial" w:cs="Arial"/>
        </w:rPr>
      </w:pPr>
    </w:p>
    <w:p w:rsidR="00F37846" w:rsidRPr="00F37846" w:rsidRDefault="00F37846" w:rsidP="00F37846">
      <w:pPr>
        <w:jc w:val="both"/>
      </w:pPr>
      <w:r w:rsidRPr="00F37846">
        <w:t>Il Consiglio di Amministrazione di Panariagroup ha deliberato di non proporre all’Assemblea la distribuzione di dividendi.</w:t>
      </w:r>
    </w:p>
    <w:p w:rsidR="00F37846" w:rsidRPr="00F37846" w:rsidRDefault="00F37846" w:rsidP="00F37846">
      <w:pPr>
        <w:jc w:val="both"/>
        <w:rPr>
          <w:rFonts w:ascii="Arial" w:hAnsi="Arial" w:cs="Arial"/>
        </w:rPr>
      </w:pPr>
    </w:p>
    <w:p w:rsidR="00F37846" w:rsidRPr="00F37846" w:rsidRDefault="00F37846" w:rsidP="00F37846">
      <w:pPr>
        <w:jc w:val="both"/>
        <w:rPr>
          <w:rFonts w:ascii="Arial" w:hAnsi="Arial" w:cs="Arial"/>
          <w:b/>
          <w:bCs/>
        </w:rPr>
      </w:pPr>
      <w:r w:rsidRPr="00F37846">
        <w:rPr>
          <w:rFonts w:ascii="Arial" w:hAnsi="Arial" w:cs="Arial"/>
          <w:b/>
          <w:bCs/>
        </w:rPr>
        <w:t>RINNOVO DELL’AUTORIZZAZIONE ALL’ACQUISTO E ALLA VENDITA DI AZIONI PROPRIE </w:t>
      </w:r>
    </w:p>
    <w:p w:rsidR="00F37846" w:rsidRPr="00F37846" w:rsidRDefault="00F37846" w:rsidP="00F37846">
      <w:pPr>
        <w:jc w:val="both"/>
        <w:rPr>
          <w:rFonts w:ascii="Arial" w:hAnsi="Arial" w:cs="Arial"/>
          <w:b/>
          <w:bCs/>
        </w:rPr>
      </w:pPr>
    </w:p>
    <w:p w:rsidR="00F37846" w:rsidRPr="00F37846" w:rsidRDefault="00F37846" w:rsidP="00F37846">
      <w:pPr>
        <w:jc w:val="both"/>
        <w:rPr>
          <w:rFonts w:ascii="Arial" w:hAnsi="Arial" w:cs="Arial"/>
        </w:rPr>
      </w:pPr>
      <w:r w:rsidRPr="00F37846">
        <w:rPr>
          <w:rFonts w:ascii="Arial" w:hAnsi="Arial" w:cs="Arial"/>
        </w:rPr>
        <w:t>Nella stessa seduta il Consiglio di Amministrazione ha deliberato di sottoporre alla prossima Assemblea Ordinaria la proposta di rinnovare l’autorizzazione all’acquisto e alla disposizione di azioni proprie. Ad oggi, la Società detiene direttamente n. 432.234 azioni proprie (pari al 0,953% del capitale sociale) per un valore nominale di 0,50 Euro per azione. Se autorizzate, le operazioni di compravendita potranno essere effettuate per un numero massimo di azioni ordinarie rappresentanti nel complesso non più del 20% del capitale sociale esistente, dedotte le azioni proprie detenute, nel rispetto degli articoli 2357 e seguenti del codice civile, dell’articolo 132 del D. Lgs. 24 febbraio 1998, n. 58, come successivamente modificato e integrato (“</w:t>
      </w:r>
      <w:r w:rsidRPr="00F37846">
        <w:rPr>
          <w:rFonts w:ascii="Arial" w:hAnsi="Arial" w:cs="Arial"/>
          <w:b/>
          <w:bCs/>
        </w:rPr>
        <w:t>TUF</w:t>
      </w:r>
      <w:r w:rsidRPr="00F37846">
        <w:rPr>
          <w:rFonts w:ascii="Arial" w:hAnsi="Arial" w:cs="Arial"/>
        </w:rPr>
        <w:t>”), dell’articolo 144</w:t>
      </w:r>
      <w:r w:rsidRPr="00F37846">
        <w:rPr>
          <w:rFonts w:ascii="Cambria Math" w:hAnsi="Cambria Math" w:cs="Cambria Math"/>
        </w:rPr>
        <w:t>‐</w:t>
      </w:r>
      <w:r w:rsidRPr="00F37846">
        <w:rPr>
          <w:rFonts w:ascii="Arial" w:hAnsi="Arial" w:cs="Arial"/>
          <w:i/>
          <w:iCs/>
        </w:rPr>
        <w:t>bis</w:t>
      </w:r>
      <w:r w:rsidRPr="00F37846">
        <w:rPr>
          <w:rFonts w:ascii="Arial" w:hAnsi="Arial" w:cs="Arial"/>
        </w:rPr>
        <w:t xml:space="preserve"> del  Regolamento in materia di emittenti adottato dalla Consob con delibera  14 maggio 1999, n. 11971, come successivamente modificato e integrato (“</w:t>
      </w:r>
      <w:r w:rsidRPr="00F37846">
        <w:rPr>
          <w:rFonts w:ascii="Arial" w:hAnsi="Arial" w:cs="Arial"/>
          <w:b/>
          <w:bCs/>
        </w:rPr>
        <w:t>Regolamento Emittenti</w:t>
      </w:r>
      <w:r w:rsidRPr="00F37846">
        <w:rPr>
          <w:rFonts w:ascii="Arial" w:hAnsi="Arial" w:cs="Arial"/>
        </w:rPr>
        <w:t xml:space="preserve">”) e di ogni altra norma applicabile, ivi incluse le norme di cui al Regolamento  (UE) 596/2014 e al Regolamento Delegato (UE) 1052/2016, nonché delle prassi di mercato ammesse  </w:t>
      </w:r>
      <w:r w:rsidRPr="00F37846">
        <w:rPr>
          <w:rFonts w:ascii="Arial" w:hAnsi="Arial" w:cs="Arial"/>
          <w:i/>
          <w:iCs/>
        </w:rPr>
        <w:t>pro  tempore</w:t>
      </w:r>
      <w:r w:rsidRPr="00F37846">
        <w:rPr>
          <w:rFonts w:ascii="Arial" w:hAnsi="Arial" w:cs="Arial"/>
        </w:rPr>
        <w:t xml:space="preserve">  vigenti, ove  applicabili,  e  dei  Regolamenti  emanati  da  Borsa  Italiana  S.p.A.,  entro  l’assemblea che approverà il bilancio al 31 dicembre 2020. Gli acquisti dovranno essere effettuati (i) ad un prezzo che non si discosti in diminuzione e in aumento per più del 20% rispetto al prezzo di riferimento registrato dal titolo nella seduta di Borsa del giorno precedente ogni singola operazione, e comunque (ii) ad un corrispettivo che non sia superiore al prezzo più elevato tra il prezzo dell’ultima operazione indipendente e il prezzo dell’offerta di acquisto indipendente corrente più elevata presente nella sede di negoziazione dove viene effettuato l’acquisto. Il numero massimo di azioni proprie acquistabili giornalmente non sarà superiore al 25% del volume medio giornaliero di azioni “Panaria” negoziato sul mercato. Il  potenziale  esborso  massimo  di  acquisto  non  sarà  superiore  alle  riserve  disponibili  risultanti  dall’ultimo bilancio regolarmente approvato. </w:t>
      </w:r>
    </w:p>
    <w:p w:rsidR="00F37846" w:rsidRPr="00F37846" w:rsidRDefault="00F37846" w:rsidP="00F37846">
      <w:pPr>
        <w:jc w:val="both"/>
        <w:rPr>
          <w:rFonts w:ascii="Arial" w:hAnsi="Arial" w:cs="Arial"/>
        </w:rPr>
      </w:pPr>
    </w:p>
    <w:p w:rsidR="00F37846" w:rsidRPr="00F37846" w:rsidRDefault="00F37846" w:rsidP="00F37846">
      <w:pPr>
        <w:jc w:val="both"/>
        <w:rPr>
          <w:rFonts w:ascii="Arial" w:hAnsi="Arial" w:cs="Arial"/>
        </w:rPr>
      </w:pPr>
      <w:r w:rsidRPr="00F37846">
        <w:rPr>
          <w:rFonts w:ascii="Arial" w:hAnsi="Arial" w:cs="Arial"/>
        </w:rPr>
        <w:t xml:space="preserve">Le motivazioni per le quali è stata richiesta l’autorizzazione sono: </w:t>
      </w:r>
    </w:p>
    <w:p w:rsidR="00F37846" w:rsidRPr="00F37846" w:rsidRDefault="00F37846" w:rsidP="00F37846">
      <w:pPr>
        <w:numPr>
          <w:ilvl w:val="0"/>
          <w:numId w:val="49"/>
        </w:numPr>
        <w:ind w:left="284" w:hanging="284"/>
        <w:jc w:val="both"/>
        <w:rPr>
          <w:rFonts w:ascii="Arial" w:hAnsi="Arial" w:cs="Arial"/>
        </w:rPr>
      </w:pPr>
      <w:r w:rsidRPr="00F37846">
        <w:rPr>
          <w:rFonts w:ascii="Arial" w:hAnsi="Arial" w:cs="Arial"/>
        </w:rPr>
        <w:t>adempiere agli obblighi derivanti da programmi di opzioni su azioni o altre assegnazioni di azioni ai dipendenti o ai membri degli organi di amministrazione o di controllo della Società o di società controllate o collegate;</w:t>
      </w:r>
    </w:p>
    <w:p w:rsidR="00F37846" w:rsidRPr="00F37846" w:rsidRDefault="00F37846" w:rsidP="00F37846">
      <w:pPr>
        <w:numPr>
          <w:ilvl w:val="0"/>
          <w:numId w:val="49"/>
        </w:numPr>
        <w:ind w:left="284" w:hanging="284"/>
        <w:jc w:val="both"/>
        <w:rPr>
          <w:rFonts w:ascii="Arial" w:hAnsi="Arial" w:cs="Arial"/>
        </w:rPr>
      </w:pPr>
      <w:r w:rsidRPr="00F37846">
        <w:rPr>
          <w:rFonts w:ascii="Arial" w:hAnsi="Arial" w:cs="Arial"/>
        </w:rPr>
        <w:t xml:space="preserve">soddisfare gli obblighi derivanti da strumenti di debito che siano convertibili in strumenti azionari; </w:t>
      </w:r>
    </w:p>
    <w:p w:rsidR="00F37846" w:rsidRPr="00F37846" w:rsidRDefault="00F37846" w:rsidP="00F37846">
      <w:pPr>
        <w:numPr>
          <w:ilvl w:val="0"/>
          <w:numId w:val="49"/>
        </w:numPr>
        <w:ind w:left="284" w:hanging="284"/>
        <w:jc w:val="both"/>
        <w:rPr>
          <w:rFonts w:ascii="Arial" w:hAnsi="Arial" w:cs="Arial"/>
        </w:rPr>
      </w:pPr>
      <w:r w:rsidRPr="00F37846">
        <w:rPr>
          <w:rFonts w:ascii="Arial" w:hAnsi="Arial" w:cs="Arial"/>
        </w:rPr>
        <w:t>compiere operazioni a sostegno della liquidità del mercato, così da favorire il regolare svolgimento delle negoziazioni ed evitare movimenti dei prezzi non in linea con l’andamento del mercato; o</w:t>
      </w:r>
    </w:p>
    <w:p w:rsidR="00F37846" w:rsidRPr="00F37846" w:rsidRDefault="00F37846" w:rsidP="00F37846">
      <w:pPr>
        <w:numPr>
          <w:ilvl w:val="0"/>
          <w:numId w:val="49"/>
        </w:numPr>
        <w:ind w:left="284" w:hanging="284"/>
        <w:jc w:val="both"/>
        <w:rPr>
          <w:rFonts w:ascii="Arial" w:hAnsi="Arial" w:cs="Arial"/>
        </w:rPr>
      </w:pPr>
      <w:r w:rsidRPr="00F37846">
        <w:rPr>
          <w:rFonts w:ascii="Arial" w:hAnsi="Arial" w:cs="Arial"/>
        </w:rPr>
        <w:t>realizzare operazioni di vendita, scambio, permuta, conferimento o altro atto di disposizione di azioni proprie per acquisizioni di partecipazioni e/o immobili e/o la conclusione di accordi (anche commerciali) con partner strategici, e/o per la realizzazione di progetti industriali o operazioni di finanza straordinaria, che rientrano negli obiettivi di espansione della Società e del Gruppo Panaria.</w:t>
      </w:r>
    </w:p>
    <w:p w:rsidR="00F37846" w:rsidRPr="00F37846" w:rsidRDefault="00F37846" w:rsidP="00F37846">
      <w:pPr>
        <w:jc w:val="both"/>
        <w:rPr>
          <w:rFonts w:ascii="Arial" w:hAnsi="Arial" w:cs="Arial"/>
        </w:rPr>
      </w:pPr>
    </w:p>
    <w:p w:rsidR="00F37846" w:rsidRPr="00F37846" w:rsidRDefault="00F37846" w:rsidP="00F37846">
      <w:pPr>
        <w:jc w:val="both"/>
        <w:rPr>
          <w:rFonts w:ascii="Arial" w:hAnsi="Arial" w:cs="Arial"/>
        </w:rPr>
      </w:pPr>
      <w:r w:rsidRPr="00F37846">
        <w:rPr>
          <w:rFonts w:ascii="Arial" w:hAnsi="Arial" w:cs="Arial"/>
        </w:rPr>
        <w:t xml:space="preserve">La relazione illustrativa predisposta dal Consiglio di Amministrazione ai sensi dell’art. 73 del Regolamento Emittenti sarà messa a disposizione, nei  termini  e nei modi di legge, presso la sede sociale, presso Borsa Italiana S.p.A., sul sito </w:t>
      </w:r>
      <w:r w:rsidRPr="00F37846">
        <w:rPr>
          <w:rFonts w:ascii="Arial" w:hAnsi="Arial" w:cs="Arial"/>
          <w:i/>
          <w:iCs/>
        </w:rPr>
        <w:t>internet</w:t>
      </w:r>
      <w:r w:rsidRPr="00F37846">
        <w:rPr>
          <w:rFonts w:ascii="Arial" w:hAnsi="Arial" w:cs="Arial"/>
        </w:rPr>
        <w:t xml:space="preserve"> della Società all’indirizzo </w:t>
      </w:r>
      <w:hyperlink r:id="rId11" w:history="1">
        <w:r w:rsidRPr="00F37846">
          <w:rPr>
            <w:rFonts w:ascii="Arial" w:hAnsi="Arial" w:cs="Arial"/>
            <w:color w:val="0000FF"/>
            <w:u w:val="single"/>
          </w:rPr>
          <w:t>www.panariagroup.it</w:t>
        </w:r>
      </w:hyperlink>
      <w:r w:rsidRPr="00F37846">
        <w:rPr>
          <w:rFonts w:ascii="Arial" w:hAnsi="Arial" w:cs="Arial"/>
        </w:rPr>
        <w:t xml:space="preserve">, nonché sul meccanismo di stoccaggio autorizzato 1Info all’indirizzo </w:t>
      </w:r>
      <w:hyperlink r:id="rId12" w:history="1">
        <w:r w:rsidRPr="00F37846">
          <w:rPr>
            <w:rFonts w:ascii="Arial" w:hAnsi="Arial" w:cs="Arial"/>
            <w:color w:val="0000FF"/>
            <w:u w:val="single"/>
          </w:rPr>
          <w:t>www.1info.it</w:t>
        </w:r>
      </w:hyperlink>
      <w:r w:rsidRPr="00F37846">
        <w:rPr>
          <w:rFonts w:ascii="Arial" w:hAnsi="Arial" w:cs="Arial"/>
        </w:rPr>
        <w:t>.</w:t>
      </w:r>
    </w:p>
    <w:p w:rsidR="00F37846" w:rsidRPr="00F37846" w:rsidRDefault="00F37846" w:rsidP="00F37846">
      <w:pPr>
        <w:jc w:val="both"/>
        <w:rPr>
          <w:rFonts w:ascii="Arial" w:hAnsi="Arial" w:cs="Arial"/>
        </w:rPr>
      </w:pPr>
    </w:p>
    <w:p w:rsidR="00F37846" w:rsidRPr="00F37846" w:rsidRDefault="00F37846" w:rsidP="00F37846">
      <w:pPr>
        <w:jc w:val="both"/>
        <w:rPr>
          <w:rFonts w:ascii="Arial" w:hAnsi="Arial" w:cs="Arial"/>
        </w:rPr>
      </w:pPr>
    </w:p>
    <w:p w:rsidR="00F37846" w:rsidRPr="00F37846" w:rsidRDefault="00F37846" w:rsidP="00F37846">
      <w:pPr>
        <w:jc w:val="both"/>
        <w:rPr>
          <w:rFonts w:ascii="Arial" w:hAnsi="Arial" w:cs="Arial"/>
          <w:b/>
          <w:bCs/>
        </w:rPr>
      </w:pPr>
      <w:r w:rsidRPr="00F37846">
        <w:rPr>
          <w:rFonts w:ascii="Arial" w:hAnsi="Arial" w:cs="Arial"/>
          <w:b/>
          <w:bCs/>
          <w:i/>
          <w:iCs/>
        </w:rPr>
        <w:t>CORPORATE GOVERNANCE</w:t>
      </w:r>
      <w:r w:rsidRPr="00F37846">
        <w:rPr>
          <w:rFonts w:ascii="Arial" w:hAnsi="Arial" w:cs="Arial"/>
          <w:b/>
          <w:bCs/>
        </w:rPr>
        <w:t> E RELAZIONE SULLA POLITICA IN MATERIA DI REMUNERAZIONE E SUI COMPENSI CORRISPOSTI</w:t>
      </w:r>
    </w:p>
    <w:p w:rsidR="00F37846" w:rsidRPr="00F37846" w:rsidRDefault="00F37846" w:rsidP="00F37846">
      <w:pPr>
        <w:jc w:val="both"/>
        <w:rPr>
          <w:rFonts w:ascii="Arial" w:hAnsi="Arial" w:cs="Arial"/>
          <w:b/>
          <w:bCs/>
        </w:rPr>
      </w:pPr>
    </w:p>
    <w:p w:rsidR="00F37846" w:rsidRPr="00F37846" w:rsidRDefault="00F37846" w:rsidP="00F37846">
      <w:pPr>
        <w:jc w:val="both"/>
        <w:rPr>
          <w:rFonts w:ascii="Arial" w:hAnsi="Arial" w:cs="Arial"/>
        </w:rPr>
      </w:pPr>
      <w:r w:rsidRPr="00F37846">
        <w:rPr>
          <w:rFonts w:ascii="Arial" w:hAnsi="Arial" w:cs="Arial"/>
        </w:rPr>
        <w:t>Nella stessa seduta, il Consiglio di Amministrazione ha approvato la Relazione annuale sul governo societario e sugli assetti proprietari di cui agli artt. 123-</w:t>
      </w:r>
      <w:r w:rsidRPr="00F37846">
        <w:rPr>
          <w:rFonts w:ascii="Arial" w:hAnsi="Arial" w:cs="Arial"/>
          <w:i/>
          <w:iCs/>
        </w:rPr>
        <w:t>bis</w:t>
      </w:r>
      <w:r w:rsidRPr="00F37846">
        <w:rPr>
          <w:rFonts w:ascii="Arial" w:hAnsi="Arial" w:cs="Arial"/>
        </w:rPr>
        <w:t xml:space="preserve"> del TUF e 89-</w:t>
      </w:r>
      <w:r w:rsidRPr="00F37846">
        <w:rPr>
          <w:rFonts w:ascii="Arial" w:hAnsi="Arial" w:cs="Arial"/>
          <w:i/>
          <w:iCs/>
        </w:rPr>
        <w:t>bis</w:t>
      </w:r>
      <w:r w:rsidRPr="00F37846">
        <w:rPr>
          <w:rFonts w:ascii="Arial" w:hAnsi="Arial" w:cs="Arial"/>
        </w:rPr>
        <w:t xml:space="preserve"> del Regolamento Emittenti.</w:t>
      </w:r>
    </w:p>
    <w:p w:rsidR="00F37846" w:rsidRPr="00F37846" w:rsidRDefault="00F37846" w:rsidP="00F37846">
      <w:pPr>
        <w:jc w:val="both"/>
        <w:rPr>
          <w:rFonts w:ascii="Arial" w:hAnsi="Arial" w:cs="Arial"/>
        </w:rPr>
      </w:pPr>
    </w:p>
    <w:p w:rsidR="00F37846" w:rsidRPr="00F37846" w:rsidRDefault="00F37846" w:rsidP="00F37846">
      <w:pPr>
        <w:jc w:val="both"/>
        <w:rPr>
          <w:rFonts w:ascii="Arial" w:hAnsi="Arial" w:cs="Arial"/>
        </w:rPr>
      </w:pPr>
      <w:r w:rsidRPr="00F37846">
        <w:rPr>
          <w:rFonts w:ascii="Arial" w:hAnsi="Arial" w:cs="Arial"/>
        </w:rPr>
        <w:t>Il Consiglio di Amministrazione ha altresì approvato la Relazione sulla politica in materia di remunerazione e sui compensi corrisposti di cui agli artt. 123-</w:t>
      </w:r>
      <w:r w:rsidRPr="00F37846">
        <w:rPr>
          <w:rFonts w:ascii="Arial" w:hAnsi="Arial" w:cs="Arial"/>
          <w:i/>
          <w:iCs/>
        </w:rPr>
        <w:t>ter</w:t>
      </w:r>
      <w:r w:rsidRPr="00F37846">
        <w:rPr>
          <w:rFonts w:ascii="Arial" w:hAnsi="Arial" w:cs="Arial"/>
        </w:rPr>
        <w:t xml:space="preserve"> del TUF e 84-</w:t>
      </w:r>
      <w:r w:rsidRPr="00F37846">
        <w:rPr>
          <w:rFonts w:ascii="Arial" w:hAnsi="Arial" w:cs="Arial"/>
          <w:i/>
          <w:iCs/>
        </w:rPr>
        <w:t>quater</w:t>
      </w:r>
      <w:r w:rsidRPr="00F37846">
        <w:rPr>
          <w:rFonts w:ascii="Arial" w:hAnsi="Arial" w:cs="Arial"/>
        </w:rPr>
        <w:t xml:space="preserve"> del Regolamento Emittenti.</w:t>
      </w:r>
    </w:p>
    <w:p w:rsidR="00F37846" w:rsidRPr="00F37846" w:rsidRDefault="00F37846" w:rsidP="00F37846">
      <w:pPr>
        <w:jc w:val="both"/>
        <w:rPr>
          <w:rFonts w:ascii="Arial" w:hAnsi="Arial" w:cs="Arial"/>
        </w:rPr>
      </w:pPr>
    </w:p>
    <w:p w:rsidR="00F37846" w:rsidRPr="00F37846" w:rsidRDefault="00F37846" w:rsidP="00F37846">
      <w:pPr>
        <w:jc w:val="both"/>
        <w:rPr>
          <w:rFonts w:ascii="Arial" w:hAnsi="Arial" w:cs="Arial"/>
        </w:rPr>
      </w:pPr>
      <w:r w:rsidRPr="00F37846">
        <w:rPr>
          <w:rFonts w:ascii="Arial" w:hAnsi="Arial" w:cs="Arial"/>
        </w:rPr>
        <w:lastRenderedPageBreak/>
        <w:t xml:space="preserve">Sia la  Relazione  sul  governo societario e sugli assetti proprietari che  la  Relazione  sulla  politica in materia di remunerazione e sui compensi corrisposti saranno  messe  a  disposizione del pubblico, nei modi e nei termini di legge, presso la sede sociale, presso Borsa Italiana S.p.A., sul sito </w:t>
      </w:r>
      <w:r w:rsidRPr="00F37846">
        <w:rPr>
          <w:rFonts w:ascii="Arial" w:hAnsi="Arial" w:cs="Arial"/>
          <w:i/>
          <w:iCs/>
        </w:rPr>
        <w:t>internet</w:t>
      </w:r>
      <w:r w:rsidRPr="00F37846">
        <w:rPr>
          <w:rFonts w:ascii="Arial" w:hAnsi="Arial" w:cs="Arial"/>
        </w:rPr>
        <w:t xml:space="preserve"> della Società all’indirizzo </w:t>
      </w:r>
      <w:hyperlink r:id="rId13" w:history="1">
        <w:r w:rsidRPr="00F37846">
          <w:rPr>
            <w:rFonts w:ascii="Arial" w:hAnsi="Arial" w:cs="Arial"/>
            <w:color w:val="0000FF"/>
            <w:u w:val="single"/>
          </w:rPr>
          <w:t>www.panariagroup.it</w:t>
        </w:r>
      </w:hyperlink>
      <w:r w:rsidRPr="00F37846">
        <w:rPr>
          <w:rFonts w:ascii="Arial" w:hAnsi="Arial" w:cs="Arial"/>
        </w:rPr>
        <w:t xml:space="preserve">, nonché sul meccanismo di stoccaggio autorizzato 1Info all’indirizzo </w:t>
      </w:r>
      <w:hyperlink r:id="rId14" w:history="1">
        <w:r w:rsidRPr="00F37846">
          <w:rPr>
            <w:rFonts w:ascii="Arial" w:hAnsi="Arial" w:cs="Arial"/>
            <w:color w:val="0000FF"/>
            <w:u w:val="single"/>
          </w:rPr>
          <w:t>www.1info.it</w:t>
        </w:r>
      </w:hyperlink>
      <w:r w:rsidRPr="00F37846">
        <w:rPr>
          <w:rFonts w:ascii="Arial" w:hAnsi="Arial" w:cs="Arial"/>
        </w:rPr>
        <w:t>.</w:t>
      </w:r>
    </w:p>
    <w:p w:rsidR="00F37846" w:rsidRPr="00F37846" w:rsidRDefault="00F37846" w:rsidP="00F37846">
      <w:pPr>
        <w:jc w:val="both"/>
        <w:rPr>
          <w:rFonts w:ascii="Arial" w:hAnsi="Arial" w:cs="Arial"/>
        </w:rPr>
      </w:pPr>
    </w:p>
    <w:p w:rsidR="00F37846" w:rsidRPr="00F37846" w:rsidRDefault="00F37846" w:rsidP="00F37846">
      <w:pPr>
        <w:jc w:val="both"/>
        <w:rPr>
          <w:rFonts w:ascii="Arial" w:hAnsi="Arial" w:cs="Arial"/>
          <w:b/>
        </w:rPr>
      </w:pPr>
    </w:p>
    <w:p w:rsidR="00F37846" w:rsidRPr="00F37846" w:rsidRDefault="00F37846" w:rsidP="00F37846">
      <w:pPr>
        <w:jc w:val="both"/>
        <w:rPr>
          <w:rFonts w:ascii="Arial" w:hAnsi="Arial" w:cs="Arial"/>
          <w:b/>
        </w:rPr>
      </w:pPr>
      <w:r w:rsidRPr="00F37846">
        <w:rPr>
          <w:rFonts w:ascii="Arial" w:hAnsi="Arial" w:cs="Arial"/>
          <w:b/>
        </w:rPr>
        <w:t>Dichiarazione del dirigente preposto alla redazione dei documenti contabili societari</w:t>
      </w:r>
    </w:p>
    <w:p w:rsidR="00F37846" w:rsidRPr="00F37846" w:rsidRDefault="00F37846" w:rsidP="00F37846">
      <w:pPr>
        <w:jc w:val="both"/>
        <w:rPr>
          <w:rFonts w:ascii="Arial" w:hAnsi="Arial" w:cs="Arial"/>
        </w:rPr>
      </w:pPr>
    </w:p>
    <w:p w:rsidR="00F37846" w:rsidRPr="00F37846" w:rsidRDefault="00F37846" w:rsidP="00F37846">
      <w:pPr>
        <w:jc w:val="both"/>
        <w:rPr>
          <w:rFonts w:ascii="Arial" w:hAnsi="Arial" w:cs="Arial"/>
        </w:rPr>
      </w:pPr>
      <w:r w:rsidRPr="00F37846">
        <w:rPr>
          <w:rFonts w:ascii="Arial" w:hAnsi="Arial" w:cs="Arial"/>
        </w:rPr>
        <w:t>Il dirigente preposto alla redazione dei documenti contabili societari, il Dott. Damiano Quarta, dichiara ai sensi del comma 2 dell’articolo 154-</w:t>
      </w:r>
      <w:r w:rsidRPr="00F37846">
        <w:rPr>
          <w:rFonts w:ascii="Arial" w:hAnsi="Arial" w:cs="Arial"/>
          <w:i/>
          <w:iCs/>
        </w:rPr>
        <w:t>bis</w:t>
      </w:r>
      <w:r w:rsidRPr="00F37846">
        <w:rPr>
          <w:rFonts w:ascii="Arial" w:hAnsi="Arial" w:cs="Arial"/>
        </w:rPr>
        <w:t xml:space="preserve"> del Testo Unico della Finanza che l’informativa contabile contenuta nel presente comunicato corrisponde alle risultanze documentali, ai libri e alle scritture contabili.</w:t>
      </w:r>
    </w:p>
    <w:p w:rsidR="00F37846" w:rsidRPr="00F37846" w:rsidRDefault="00F37846" w:rsidP="00F37846">
      <w:pPr>
        <w:rPr>
          <w:rFonts w:ascii="Arial" w:hAnsi="Arial" w:cs="Arial"/>
        </w:rPr>
      </w:pPr>
    </w:p>
    <w:p w:rsidR="00F37846" w:rsidRPr="00F37846" w:rsidRDefault="00F37846" w:rsidP="00F37846">
      <w:pPr>
        <w:rPr>
          <w:rFonts w:ascii="Arial" w:hAnsi="Arial" w:cs="Arial"/>
        </w:rPr>
      </w:pPr>
    </w:p>
    <w:p w:rsidR="00F37846" w:rsidRDefault="00F37846" w:rsidP="00F37846">
      <w:pPr>
        <w:jc w:val="both"/>
        <w:rPr>
          <w:rFonts w:ascii="Arial" w:hAnsi="Arial" w:cs="Arial"/>
        </w:rPr>
      </w:pPr>
      <w:r w:rsidRPr="00914B36">
        <w:rPr>
          <w:rFonts w:ascii="Arial" w:hAnsi="Arial" w:cs="Arial"/>
          <w:u w:val="single"/>
        </w:rPr>
        <w:t>Allegati:</w:t>
      </w:r>
      <w:r w:rsidRPr="00F37846">
        <w:rPr>
          <w:rFonts w:ascii="Arial" w:hAnsi="Arial" w:cs="Arial"/>
        </w:rPr>
        <w:t xml:space="preserve"> Situazione Patrimoniale-Finanziaria e Conto Economico consolidati e d’esercizio. Si segnala che, relativamente ai documenti qui allegati, non è stata ancora completata l’attività di revisione.</w:t>
      </w:r>
    </w:p>
    <w:p w:rsidR="00914B36" w:rsidRDefault="00914B36" w:rsidP="00F37846">
      <w:pPr>
        <w:jc w:val="both"/>
        <w:rPr>
          <w:rFonts w:ascii="Arial" w:hAnsi="Arial" w:cs="Arial"/>
        </w:rPr>
      </w:pPr>
    </w:p>
    <w:p w:rsidR="00914B36" w:rsidRPr="00914B36" w:rsidRDefault="00914B36" w:rsidP="00914B36">
      <w:pPr>
        <w:jc w:val="both"/>
        <w:rPr>
          <w:rFonts w:ascii="Arial" w:hAnsi="Arial" w:cs="Arial"/>
          <w:u w:val="single"/>
        </w:rPr>
      </w:pPr>
      <w:r w:rsidRPr="00914B36">
        <w:rPr>
          <w:rFonts w:ascii="Arial" w:hAnsi="Arial" w:cs="Arial"/>
          <w:u w:val="single"/>
        </w:rPr>
        <w:t>Note ai prospetti contabili allegati</w:t>
      </w:r>
    </w:p>
    <w:p w:rsidR="00914B36" w:rsidRPr="00914B36" w:rsidRDefault="00914B36" w:rsidP="00914B36">
      <w:pPr>
        <w:jc w:val="both"/>
        <w:rPr>
          <w:rFonts w:ascii="Arial" w:hAnsi="Arial" w:cs="Arial"/>
        </w:rPr>
      </w:pPr>
      <w:r w:rsidRPr="00914B36">
        <w:rPr>
          <w:rFonts w:ascii="Arial" w:hAnsi="Arial" w:cs="Arial"/>
        </w:rPr>
        <w:t>A partire dal 1 gennaio 2019 è entrato in vigore il principio contabile IFRS 16 (Leases).</w:t>
      </w:r>
    </w:p>
    <w:p w:rsidR="00914B36" w:rsidRPr="00F37846" w:rsidRDefault="00914B36" w:rsidP="00914B36">
      <w:pPr>
        <w:jc w:val="both"/>
        <w:rPr>
          <w:rFonts w:ascii="Arial" w:hAnsi="Arial" w:cs="Arial"/>
        </w:rPr>
      </w:pPr>
      <w:r w:rsidRPr="00914B36">
        <w:rPr>
          <w:rFonts w:ascii="Arial" w:hAnsi="Arial" w:cs="Arial"/>
        </w:rPr>
        <w:t xml:space="preserve">Per ragioni di comparabilità, </w:t>
      </w:r>
      <w:r w:rsidR="00450874">
        <w:rPr>
          <w:rFonts w:ascii="Arial" w:hAnsi="Arial" w:cs="Arial"/>
        </w:rPr>
        <w:t>i dati del</w:t>
      </w:r>
      <w:r w:rsidRPr="00914B36">
        <w:rPr>
          <w:rFonts w:ascii="Arial" w:hAnsi="Arial" w:cs="Arial"/>
        </w:rPr>
        <w:t xml:space="preserve"> 2018 </w:t>
      </w:r>
      <w:r w:rsidR="00450874">
        <w:rPr>
          <w:rFonts w:ascii="Arial" w:hAnsi="Arial" w:cs="Arial"/>
        </w:rPr>
        <w:t>sono stati</w:t>
      </w:r>
      <w:r w:rsidRPr="00914B36">
        <w:rPr>
          <w:rFonts w:ascii="Arial" w:hAnsi="Arial" w:cs="Arial"/>
        </w:rPr>
        <w:t xml:space="preserve"> riespost</w:t>
      </w:r>
      <w:r w:rsidR="00450874">
        <w:rPr>
          <w:rFonts w:ascii="Arial" w:hAnsi="Arial" w:cs="Arial"/>
        </w:rPr>
        <w:t>i</w:t>
      </w:r>
      <w:r w:rsidRPr="00914B36">
        <w:rPr>
          <w:rFonts w:ascii="Arial" w:hAnsi="Arial" w:cs="Arial"/>
        </w:rPr>
        <w:t>, con l’applicazione retroattiva del principio IFRS  16, secondo la modalità “full retrospective”.</w:t>
      </w:r>
    </w:p>
    <w:p w:rsidR="00F37846" w:rsidRPr="00F37846" w:rsidRDefault="00F37846" w:rsidP="00F37846">
      <w:pPr>
        <w:jc w:val="both"/>
        <w:rPr>
          <w:rFonts w:ascii="Arial" w:hAnsi="Arial" w:cs="Arial"/>
        </w:rPr>
      </w:pPr>
    </w:p>
    <w:p w:rsidR="007C16AC" w:rsidRPr="00957D90" w:rsidRDefault="007C16AC" w:rsidP="007C16AC">
      <w:pPr>
        <w:rPr>
          <w:rFonts w:ascii="Arial" w:hAnsi="Arial" w:cs="Arial"/>
        </w:rPr>
      </w:pPr>
    </w:p>
    <w:p w:rsidR="00CF5746" w:rsidRDefault="00CF5746" w:rsidP="00CF5746">
      <w:pPr>
        <w:rPr>
          <w:rFonts w:ascii="Arial" w:hAnsi="Arial" w:cs="Arial"/>
          <w:b/>
          <w:u w:val="single"/>
        </w:rPr>
      </w:pPr>
    </w:p>
    <w:p w:rsidR="00EB4F52" w:rsidRDefault="00EB4F52" w:rsidP="00CF5746">
      <w:pPr>
        <w:rPr>
          <w:rFonts w:ascii="Arial" w:hAnsi="Arial" w:cs="Arial"/>
          <w:b/>
          <w:u w:val="single"/>
        </w:rPr>
      </w:pPr>
    </w:p>
    <w:p w:rsidR="00EB4F52" w:rsidRPr="00957D90" w:rsidRDefault="00EB4F52" w:rsidP="00CF5746">
      <w:pPr>
        <w:rPr>
          <w:rFonts w:ascii="Arial" w:hAnsi="Arial" w:cs="Arial"/>
          <w:b/>
          <w:u w:val="single"/>
        </w:rPr>
      </w:pPr>
    </w:p>
    <w:p w:rsidR="007C16AC" w:rsidRPr="00F37846" w:rsidRDefault="007C16AC" w:rsidP="007C16AC">
      <w:pPr>
        <w:pStyle w:val="Default"/>
        <w:jc w:val="both"/>
        <w:rPr>
          <w:b/>
          <w:sz w:val="20"/>
          <w:szCs w:val="20"/>
        </w:rPr>
      </w:pPr>
      <w:r w:rsidRPr="00F37846">
        <w:rPr>
          <w:b/>
          <w:sz w:val="20"/>
          <w:szCs w:val="20"/>
        </w:rPr>
        <w:t>Panariagroup Industrie Ceramiche</w:t>
      </w:r>
    </w:p>
    <w:p w:rsidR="007C16AC" w:rsidRPr="00957D90" w:rsidRDefault="007C16AC" w:rsidP="007C16AC">
      <w:pPr>
        <w:pStyle w:val="Default"/>
        <w:jc w:val="both"/>
        <w:rPr>
          <w:sz w:val="20"/>
          <w:szCs w:val="20"/>
        </w:rPr>
      </w:pPr>
    </w:p>
    <w:p w:rsidR="007C16AC" w:rsidRPr="00957D90" w:rsidRDefault="007C16AC" w:rsidP="007C16AC">
      <w:pPr>
        <w:pStyle w:val="Default"/>
        <w:jc w:val="both"/>
        <w:rPr>
          <w:sz w:val="20"/>
          <w:szCs w:val="20"/>
        </w:rPr>
      </w:pPr>
      <w:bookmarkStart w:id="1" w:name="_Hlk12271418"/>
      <w:r w:rsidRPr="00957D90">
        <w:rPr>
          <w:i/>
          <w:iCs/>
          <w:sz w:val="20"/>
          <w:szCs w:val="20"/>
        </w:rPr>
        <w:t>Panariagroup Industrie Ceramiche S.p.A. è un gruppo multinazionale italiano, leader mondiale nella produzione e distribuzione di superfici in ceramica per pavimenti e rivestimenti del segmento premium del mercato. Con oltre 1.700 dipendenti, oltre 10.000 clienti professionali, 6 stabilimenti produttivi (3 in Italia, 2 in Portogallo e 1 negli Stati Uniti), € 3</w:t>
      </w:r>
      <w:r w:rsidR="00F37846">
        <w:rPr>
          <w:i/>
          <w:iCs/>
          <w:sz w:val="20"/>
          <w:szCs w:val="20"/>
        </w:rPr>
        <w:t>82</w:t>
      </w:r>
      <w:r w:rsidRPr="00957D90">
        <w:rPr>
          <w:i/>
          <w:iCs/>
          <w:sz w:val="20"/>
          <w:szCs w:val="20"/>
        </w:rPr>
        <w:t xml:space="preserve"> milioni di fatturato nel 201</w:t>
      </w:r>
      <w:r w:rsidR="00F37846">
        <w:rPr>
          <w:i/>
          <w:iCs/>
          <w:sz w:val="20"/>
          <w:szCs w:val="20"/>
        </w:rPr>
        <w:t>9</w:t>
      </w:r>
      <w:r w:rsidRPr="00957D90">
        <w:rPr>
          <w:i/>
          <w:iCs/>
          <w:sz w:val="20"/>
          <w:szCs w:val="20"/>
        </w:rPr>
        <w:t>, Panariagroup è un player di riferimento nel proprio settore e vanta una distribuzione geografica delle vendite focalizzata per l’8</w:t>
      </w:r>
      <w:r w:rsidR="00F37846">
        <w:rPr>
          <w:i/>
          <w:iCs/>
          <w:sz w:val="20"/>
          <w:szCs w:val="20"/>
        </w:rPr>
        <w:t>1</w:t>
      </w:r>
      <w:r w:rsidRPr="00957D90">
        <w:rPr>
          <w:i/>
          <w:iCs/>
          <w:sz w:val="20"/>
          <w:szCs w:val="20"/>
        </w:rPr>
        <w:t xml:space="preserve">% sui mercati esteri. </w:t>
      </w:r>
    </w:p>
    <w:p w:rsidR="007C16AC" w:rsidRPr="00957D90" w:rsidRDefault="007C16AC" w:rsidP="007C16AC">
      <w:pPr>
        <w:pStyle w:val="Default"/>
        <w:jc w:val="both"/>
        <w:rPr>
          <w:sz w:val="20"/>
          <w:szCs w:val="20"/>
        </w:rPr>
      </w:pPr>
      <w:r w:rsidRPr="00957D90">
        <w:rPr>
          <w:i/>
          <w:iCs/>
          <w:sz w:val="20"/>
          <w:szCs w:val="20"/>
        </w:rPr>
        <w:t xml:space="preserve">Specializzato nella produzione di grès porcellanato e grès porcellanato laminato, tramite i propri brand commerciali (Panaria Ceramica, Lea Ceramiche, Cotto D’Este, Blustyle in Italia, Margres e Love Tiles in Portogallo, Florida Tile negli Stati Uniti e Bellissimo in India), Panariagroup propone soluzioni di alta qualità e prestigio per tutte le esigenze dell’architettura residenziale, commerciale e pubblica. </w:t>
      </w:r>
    </w:p>
    <w:p w:rsidR="007C16AC" w:rsidRPr="00957D90" w:rsidRDefault="007C16AC" w:rsidP="007C16AC">
      <w:pPr>
        <w:jc w:val="both"/>
        <w:rPr>
          <w:rFonts w:ascii="Arial" w:hAnsi="Arial" w:cs="Arial"/>
          <w:i/>
          <w:iCs/>
        </w:rPr>
      </w:pPr>
      <w:r w:rsidRPr="00957D90">
        <w:rPr>
          <w:rFonts w:ascii="Arial" w:hAnsi="Arial" w:cs="Arial"/>
          <w:i/>
          <w:iCs/>
        </w:rPr>
        <w:t>Panariagroup è una realtà di dimensioni internazionali presente in Italia, Portogallo, Stati Uniti, India e che opera in oltre 130 paesi nel mondo con una rete commerciale ampia e capillare.</w:t>
      </w:r>
    </w:p>
    <w:p w:rsidR="007C16AC" w:rsidRPr="00957D90" w:rsidRDefault="007C16AC" w:rsidP="007C16AC">
      <w:pPr>
        <w:rPr>
          <w:rFonts w:ascii="Arial" w:hAnsi="Arial" w:cs="Arial"/>
          <w:i/>
          <w:iCs/>
        </w:rPr>
      </w:pPr>
    </w:p>
    <w:p w:rsidR="007C16AC" w:rsidRPr="00957D90" w:rsidRDefault="007C16AC" w:rsidP="007C16AC">
      <w:pPr>
        <w:rPr>
          <w:rStyle w:val="Collegamentoipertestuale"/>
          <w:rFonts w:ascii="Arial" w:hAnsi="Arial" w:cs="Arial"/>
          <w:color w:val="auto"/>
          <w:lang w:val="en-GB"/>
        </w:rPr>
      </w:pPr>
      <w:r w:rsidRPr="00957D90">
        <w:rPr>
          <w:rFonts w:ascii="Arial" w:hAnsi="Arial" w:cs="Arial"/>
          <w:lang w:val="en-GB"/>
        </w:rPr>
        <w:t xml:space="preserve">web </w:t>
      </w:r>
      <w:hyperlink r:id="rId15" w:history="1">
        <w:r w:rsidRPr="00957D90">
          <w:rPr>
            <w:rStyle w:val="Collegamentoipertestuale"/>
            <w:rFonts w:ascii="Arial" w:hAnsi="Arial" w:cs="Arial"/>
            <w:color w:val="auto"/>
            <w:lang w:val="en-GB"/>
          </w:rPr>
          <w:t>www.panariagroup.it</w:t>
        </w:r>
      </w:hyperlink>
      <w:r w:rsidRPr="00957D90">
        <w:rPr>
          <w:rFonts w:ascii="Arial" w:hAnsi="Arial" w:cs="Arial"/>
          <w:lang w:val="en-GB"/>
        </w:rPr>
        <w:t xml:space="preserve"> | social: </w:t>
      </w:r>
      <w:hyperlink r:id="rId16" w:history="1">
        <w:r w:rsidRPr="00957D90">
          <w:rPr>
            <w:rStyle w:val="Collegamentoipertestuale"/>
            <w:rFonts w:ascii="Arial" w:hAnsi="Arial" w:cs="Arial"/>
            <w:color w:val="auto"/>
            <w:lang w:val="en-GB"/>
          </w:rPr>
          <w:t>facebook.com/panariagroup</w:t>
        </w:r>
      </w:hyperlink>
      <w:r w:rsidRPr="00957D90">
        <w:rPr>
          <w:rStyle w:val="Collegamentoipertestuale"/>
          <w:rFonts w:ascii="Arial" w:hAnsi="Arial" w:cs="Arial"/>
          <w:color w:val="auto"/>
          <w:u w:val="none"/>
          <w:lang w:val="en-GB"/>
        </w:rPr>
        <w:t xml:space="preserve"> ; </w:t>
      </w:r>
      <w:hyperlink r:id="rId17" w:history="1">
        <w:r w:rsidRPr="00957D90">
          <w:rPr>
            <w:rStyle w:val="Collegamentoipertestuale"/>
            <w:rFonts w:ascii="Arial" w:hAnsi="Arial" w:cs="Arial"/>
            <w:color w:val="auto"/>
            <w:lang w:val="en-GB"/>
          </w:rPr>
          <w:t>linkedin.com/company/panariagroup/</w:t>
        </w:r>
      </w:hyperlink>
    </w:p>
    <w:bookmarkEnd w:id="1"/>
    <w:p w:rsidR="007C16AC" w:rsidRPr="00957D90" w:rsidRDefault="007C16AC" w:rsidP="007C16AC">
      <w:pPr>
        <w:rPr>
          <w:rFonts w:ascii="Arial" w:hAnsi="Arial" w:cs="Arial"/>
          <w:i/>
          <w:iCs/>
          <w:lang w:val="en-GB"/>
        </w:rPr>
      </w:pPr>
    </w:p>
    <w:p w:rsidR="007C16AC" w:rsidRPr="00957D90" w:rsidRDefault="007C16AC" w:rsidP="007C16AC">
      <w:pPr>
        <w:pStyle w:val="Default"/>
        <w:rPr>
          <w:sz w:val="20"/>
          <w:szCs w:val="20"/>
        </w:rPr>
      </w:pPr>
      <w:r w:rsidRPr="00957D90">
        <w:rPr>
          <w:sz w:val="20"/>
          <w:szCs w:val="20"/>
        </w:rPr>
        <w:t xml:space="preserve">Contact: </w:t>
      </w:r>
    </w:p>
    <w:p w:rsidR="007C16AC" w:rsidRPr="00957D90" w:rsidRDefault="007C16AC" w:rsidP="007C16AC">
      <w:pPr>
        <w:pStyle w:val="Default"/>
        <w:rPr>
          <w:sz w:val="20"/>
          <w:szCs w:val="20"/>
        </w:rPr>
      </w:pPr>
    </w:p>
    <w:p w:rsidR="007C16AC" w:rsidRPr="00957D90" w:rsidRDefault="007C16AC" w:rsidP="007C16AC">
      <w:pPr>
        <w:pStyle w:val="Default"/>
        <w:rPr>
          <w:sz w:val="20"/>
          <w:szCs w:val="20"/>
        </w:rPr>
      </w:pPr>
      <w:r w:rsidRPr="00957D90">
        <w:rPr>
          <w:b/>
          <w:bCs/>
          <w:sz w:val="20"/>
          <w:szCs w:val="20"/>
        </w:rPr>
        <w:t xml:space="preserve">Panariagroup </w:t>
      </w:r>
      <w:r w:rsidRPr="00957D90">
        <w:rPr>
          <w:sz w:val="20"/>
          <w:szCs w:val="20"/>
        </w:rPr>
        <w:t xml:space="preserve">- Relazioni Esterne </w:t>
      </w:r>
    </w:p>
    <w:p w:rsidR="007C16AC" w:rsidRPr="00957D90" w:rsidRDefault="007C16AC" w:rsidP="007C16AC">
      <w:pPr>
        <w:pStyle w:val="Default"/>
        <w:rPr>
          <w:color w:val="0000FF"/>
          <w:sz w:val="20"/>
          <w:szCs w:val="20"/>
        </w:rPr>
      </w:pPr>
      <w:r w:rsidRPr="00957D90">
        <w:rPr>
          <w:color w:val="0000FF"/>
          <w:sz w:val="20"/>
          <w:szCs w:val="20"/>
        </w:rPr>
        <w:t xml:space="preserve">relazioniesterne@panariagroup.it </w:t>
      </w:r>
    </w:p>
    <w:p w:rsidR="007C16AC" w:rsidRPr="00957D90" w:rsidRDefault="007C16AC" w:rsidP="007C16AC">
      <w:pPr>
        <w:rPr>
          <w:rFonts w:ascii="Arial" w:eastAsia="Calibri" w:hAnsi="Arial" w:cs="Arial"/>
          <w:color w:val="000000"/>
          <w:lang w:eastAsia="en-US"/>
        </w:rPr>
      </w:pPr>
      <w:r w:rsidRPr="00957D90">
        <w:rPr>
          <w:rFonts w:ascii="Arial" w:eastAsia="Calibri" w:hAnsi="Arial" w:cs="Arial"/>
          <w:color w:val="000000"/>
          <w:lang w:eastAsia="en-US"/>
        </w:rPr>
        <w:t>T. +39 0522 773 530</w:t>
      </w:r>
    </w:p>
    <w:p w:rsidR="007C16AC" w:rsidRPr="00957D90" w:rsidRDefault="007C16AC" w:rsidP="007C16AC">
      <w:pPr>
        <w:rPr>
          <w:rFonts w:ascii="Arial" w:hAnsi="Arial" w:cs="Arial"/>
        </w:rPr>
      </w:pPr>
    </w:p>
    <w:p w:rsidR="007C16AC" w:rsidRPr="00957D90" w:rsidRDefault="007C16AC" w:rsidP="007C16AC">
      <w:pPr>
        <w:rPr>
          <w:rFonts w:ascii="Arial" w:hAnsi="Arial" w:cs="Arial"/>
        </w:rPr>
      </w:pPr>
    </w:p>
    <w:p w:rsidR="007C16AC" w:rsidRPr="00957D90" w:rsidRDefault="007C16AC" w:rsidP="007C16AC">
      <w:pPr>
        <w:jc w:val="both"/>
        <w:rPr>
          <w:rFonts w:ascii="Arial" w:hAnsi="Arial" w:cs="Arial"/>
        </w:rPr>
      </w:pPr>
      <w:r w:rsidRPr="00957D90">
        <w:rPr>
          <w:rFonts w:ascii="Arial" w:hAnsi="Arial" w:cs="Arial"/>
        </w:rPr>
        <w:t>Finale Emilia</w:t>
      </w:r>
      <w:r w:rsidR="00F37846">
        <w:rPr>
          <w:rFonts w:ascii="Arial" w:hAnsi="Arial" w:cs="Arial"/>
        </w:rPr>
        <w:t>,13 marzo</w:t>
      </w:r>
      <w:r w:rsidRPr="00957D90">
        <w:rPr>
          <w:rFonts w:ascii="Arial" w:hAnsi="Arial" w:cs="Arial"/>
        </w:rPr>
        <w:t xml:space="preserve"> 2020</w:t>
      </w:r>
    </w:p>
    <w:p w:rsidR="00CF5746" w:rsidRPr="00957D90" w:rsidRDefault="00CF5746" w:rsidP="001762C0">
      <w:pPr>
        <w:jc w:val="both"/>
        <w:rPr>
          <w:rFonts w:ascii="Arial" w:hAnsi="Arial" w:cs="Arial"/>
        </w:rPr>
      </w:pPr>
    </w:p>
    <w:p w:rsidR="001762C0" w:rsidRPr="00957D90" w:rsidRDefault="001762C0" w:rsidP="00083185">
      <w:pPr>
        <w:jc w:val="both"/>
        <w:rPr>
          <w:rFonts w:ascii="Arial" w:hAnsi="Arial" w:cs="Arial"/>
          <w:b/>
          <w:bCs/>
        </w:rPr>
      </w:pPr>
    </w:p>
    <w:p w:rsidR="00D93B22" w:rsidRDefault="00D93B22">
      <w:pPr>
        <w:rPr>
          <w:rFonts w:ascii="Arial" w:hAnsi="Arial" w:cs="Arial"/>
          <w:b/>
          <w:bCs/>
        </w:rPr>
      </w:pPr>
      <w:r>
        <w:rPr>
          <w:rFonts w:ascii="Arial" w:hAnsi="Arial" w:cs="Arial"/>
          <w:b/>
          <w:bCs/>
        </w:rPr>
        <w:br w:type="page"/>
      </w:r>
    </w:p>
    <w:p w:rsidR="003E6C6E" w:rsidRDefault="003E6C6E" w:rsidP="003E6C6E">
      <w:pPr>
        <w:ind w:left="-567" w:firstLine="567"/>
        <w:jc w:val="both"/>
        <w:rPr>
          <w:rFonts w:ascii="Calibri" w:hAnsi="Calibri"/>
          <w:b/>
          <w:sz w:val="28"/>
          <w:szCs w:val="28"/>
          <w:u w:val="single"/>
        </w:rPr>
      </w:pPr>
      <w:r>
        <w:rPr>
          <w:rFonts w:ascii="Calibri" w:hAnsi="Calibri"/>
          <w:b/>
          <w:sz w:val="28"/>
          <w:szCs w:val="28"/>
          <w:u w:val="single"/>
        </w:rPr>
        <w:lastRenderedPageBreak/>
        <w:t xml:space="preserve">BILANCIO CONSOLIDATO </w:t>
      </w:r>
    </w:p>
    <w:p w:rsidR="003E6C6E" w:rsidRDefault="003E6C6E" w:rsidP="003E6C6E">
      <w:pPr>
        <w:ind w:left="-567" w:firstLine="567"/>
        <w:jc w:val="both"/>
        <w:rPr>
          <w:rFonts w:ascii="Calibri" w:hAnsi="Calibri"/>
          <w:b/>
          <w:sz w:val="28"/>
          <w:szCs w:val="28"/>
          <w:u w:val="single"/>
        </w:rPr>
      </w:pPr>
      <w:r>
        <w:rPr>
          <w:rFonts w:ascii="Calibri" w:hAnsi="Calibri"/>
          <w:b/>
          <w:sz w:val="28"/>
          <w:szCs w:val="28"/>
          <w:u w:val="single"/>
        </w:rPr>
        <w:t>Conto Economico</w:t>
      </w:r>
    </w:p>
    <w:p w:rsidR="003E6C6E" w:rsidRDefault="003E6C6E" w:rsidP="003E6C6E">
      <w:pPr>
        <w:ind w:left="-567" w:firstLine="567"/>
        <w:jc w:val="both"/>
        <w:rPr>
          <w:rFonts w:ascii="Calibri" w:hAnsi="Calibri"/>
          <w:b/>
          <w:sz w:val="28"/>
          <w:szCs w:val="28"/>
          <w:u w:val="single"/>
        </w:rPr>
      </w:pPr>
    </w:p>
    <w:p w:rsidR="00D93B22" w:rsidRDefault="00D93B22" w:rsidP="00D93B22">
      <w:pPr>
        <w:ind w:left="-567" w:firstLine="567"/>
        <w:jc w:val="both"/>
        <w:rPr>
          <w:rFonts w:ascii="Calibri" w:hAnsi="Calibri"/>
          <w:sz w:val="22"/>
          <w:szCs w:val="22"/>
          <w:u w:val="single"/>
        </w:rPr>
      </w:pPr>
    </w:p>
    <w:p w:rsidR="00D93B22" w:rsidRDefault="00D93B22" w:rsidP="00D93B22">
      <w:pPr>
        <w:ind w:left="-567" w:firstLine="567"/>
        <w:jc w:val="both"/>
        <w:rPr>
          <w:rFonts w:ascii="Calibri" w:hAnsi="Calibri"/>
          <w:sz w:val="22"/>
          <w:szCs w:val="22"/>
          <w:u w:val="single"/>
        </w:rPr>
      </w:pPr>
      <w:r w:rsidRPr="00DE294A">
        <w:rPr>
          <w:noProof/>
        </w:rPr>
        <w:drawing>
          <wp:inline distT="0" distB="0" distL="0" distR="0" wp14:anchorId="47F55256" wp14:editId="2964782C">
            <wp:extent cx="6210935" cy="5142865"/>
            <wp:effectExtent l="0" t="0" r="0"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935" cy="5142865"/>
                    </a:xfrm>
                    <a:prstGeom prst="rect">
                      <a:avLst/>
                    </a:prstGeom>
                    <a:noFill/>
                    <a:ln>
                      <a:noFill/>
                    </a:ln>
                  </pic:spPr>
                </pic:pic>
              </a:graphicData>
            </a:graphic>
          </wp:inline>
        </w:drawing>
      </w:r>
    </w:p>
    <w:p w:rsidR="00D93B22" w:rsidRDefault="00D93B22">
      <w:pPr>
        <w:rPr>
          <w:rFonts w:ascii="Calibri" w:hAnsi="Calibri"/>
          <w:sz w:val="22"/>
          <w:szCs w:val="22"/>
          <w:u w:val="single"/>
        </w:rPr>
      </w:pPr>
      <w:r>
        <w:rPr>
          <w:rFonts w:ascii="Calibri" w:hAnsi="Calibri"/>
          <w:sz w:val="22"/>
          <w:szCs w:val="22"/>
          <w:u w:val="single"/>
        </w:rPr>
        <w:br w:type="page"/>
      </w:r>
    </w:p>
    <w:p w:rsidR="003E6C6E" w:rsidRDefault="004414BE" w:rsidP="004414BE">
      <w:pPr>
        <w:ind w:left="-567" w:firstLine="567"/>
        <w:jc w:val="both"/>
        <w:rPr>
          <w:rFonts w:ascii="Calibri" w:hAnsi="Calibri"/>
          <w:b/>
          <w:sz w:val="28"/>
          <w:szCs w:val="28"/>
          <w:u w:val="single"/>
        </w:rPr>
      </w:pPr>
      <w:r>
        <w:rPr>
          <w:rFonts w:ascii="Calibri" w:hAnsi="Calibri"/>
          <w:b/>
          <w:sz w:val="28"/>
          <w:szCs w:val="28"/>
          <w:u w:val="single"/>
        </w:rPr>
        <w:lastRenderedPageBreak/>
        <w:t xml:space="preserve">BILANCIO CONSOLIDATO </w:t>
      </w:r>
    </w:p>
    <w:p w:rsidR="004414BE" w:rsidRDefault="004414BE" w:rsidP="004414BE">
      <w:pPr>
        <w:ind w:left="-567" w:firstLine="567"/>
        <w:jc w:val="both"/>
        <w:rPr>
          <w:rFonts w:ascii="Calibri" w:hAnsi="Calibri"/>
          <w:b/>
          <w:sz w:val="28"/>
          <w:szCs w:val="28"/>
          <w:u w:val="single"/>
        </w:rPr>
      </w:pPr>
      <w:r>
        <w:rPr>
          <w:rFonts w:ascii="Calibri" w:hAnsi="Calibri"/>
          <w:b/>
          <w:sz w:val="28"/>
          <w:szCs w:val="28"/>
          <w:u w:val="single"/>
        </w:rPr>
        <w:t>Situazione Patrimoniale – Finanziaria riclassificata</w:t>
      </w:r>
    </w:p>
    <w:p w:rsidR="00D93B22" w:rsidRDefault="00D93B22" w:rsidP="00D93B22">
      <w:pPr>
        <w:ind w:left="-567" w:firstLine="567"/>
        <w:jc w:val="both"/>
        <w:rPr>
          <w:rFonts w:ascii="Calibri" w:hAnsi="Calibri"/>
          <w:b/>
          <w:sz w:val="28"/>
          <w:szCs w:val="28"/>
          <w:u w:val="single"/>
        </w:rPr>
      </w:pPr>
    </w:p>
    <w:p w:rsidR="009D49D6" w:rsidRDefault="0067212C" w:rsidP="00D93B22">
      <w:pPr>
        <w:ind w:left="-567" w:firstLine="567"/>
        <w:jc w:val="both"/>
        <w:rPr>
          <w:rFonts w:ascii="Calibri" w:hAnsi="Calibri"/>
          <w:b/>
          <w:sz w:val="28"/>
          <w:szCs w:val="28"/>
          <w:u w:val="single"/>
        </w:rPr>
      </w:pPr>
      <w:r w:rsidRPr="0067212C">
        <w:rPr>
          <w:noProof/>
        </w:rPr>
        <w:drawing>
          <wp:inline distT="0" distB="0" distL="0" distR="0">
            <wp:extent cx="5375275" cy="641667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5275" cy="6416675"/>
                    </a:xfrm>
                    <a:prstGeom prst="rect">
                      <a:avLst/>
                    </a:prstGeom>
                    <a:noFill/>
                    <a:ln>
                      <a:noFill/>
                    </a:ln>
                  </pic:spPr>
                </pic:pic>
              </a:graphicData>
            </a:graphic>
          </wp:inline>
        </w:drawing>
      </w:r>
    </w:p>
    <w:p w:rsidR="004414BE" w:rsidRDefault="004414BE" w:rsidP="004414BE">
      <w:pPr>
        <w:ind w:left="-567" w:firstLine="567"/>
        <w:jc w:val="both"/>
        <w:rPr>
          <w:rFonts w:ascii="Calibri" w:hAnsi="Calibri"/>
          <w:b/>
          <w:sz w:val="28"/>
          <w:szCs w:val="28"/>
          <w:u w:val="single"/>
        </w:rPr>
      </w:pPr>
    </w:p>
    <w:p w:rsidR="004414BE" w:rsidRDefault="004414BE" w:rsidP="004414BE">
      <w:pPr>
        <w:ind w:left="-567" w:firstLine="567"/>
        <w:jc w:val="both"/>
        <w:rPr>
          <w:rFonts w:ascii="Calibri" w:hAnsi="Calibri"/>
          <w:b/>
          <w:sz w:val="28"/>
          <w:szCs w:val="28"/>
          <w:u w:val="single"/>
        </w:rPr>
      </w:pPr>
    </w:p>
    <w:p w:rsidR="004414BE" w:rsidRDefault="004414BE" w:rsidP="004414BE">
      <w:pPr>
        <w:ind w:left="-567" w:firstLine="567"/>
        <w:jc w:val="both"/>
        <w:rPr>
          <w:rFonts w:ascii="Calibri" w:hAnsi="Calibri"/>
          <w:b/>
          <w:sz w:val="28"/>
          <w:szCs w:val="28"/>
          <w:u w:val="single"/>
        </w:rPr>
      </w:pPr>
    </w:p>
    <w:p w:rsidR="004414BE" w:rsidRDefault="004414BE" w:rsidP="004414BE">
      <w:pPr>
        <w:ind w:left="-567" w:firstLine="567"/>
        <w:jc w:val="both"/>
        <w:rPr>
          <w:rFonts w:ascii="Calibri" w:hAnsi="Calibri"/>
          <w:b/>
          <w:sz w:val="28"/>
          <w:szCs w:val="28"/>
          <w:u w:val="single"/>
        </w:rPr>
      </w:pPr>
    </w:p>
    <w:p w:rsidR="004414BE" w:rsidRDefault="004414BE" w:rsidP="004414BE">
      <w:pPr>
        <w:ind w:left="-567" w:firstLine="567"/>
        <w:jc w:val="both"/>
        <w:rPr>
          <w:rFonts w:ascii="Calibri" w:hAnsi="Calibri"/>
          <w:b/>
          <w:sz w:val="28"/>
          <w:szCs w:val="28"/>
          <w:u w:val="single"/>
        </w:rPr>
      </w:pPr>
    </w:p>
    <w:p w:rsidR="004414BE" w:rsidRDefault="004414BE" w:rsidP="004414BE">
      <w:pPr>
        <w:ind w:left="-567" w:firstLine="567"/>
        <w:jc w:val="both"/>
        <w:rPr>
          <w:rFonts w:ascii="Calibri" w:hAnsi="Calibri"/>
          <w:b/>
          <w:sz w:val="28"/>
          <w:szCs w:val="28"/>
          <w:u w:val="single"/>
        </w:rPr>
      </w:pPr>
    </w:p>
    <w:p w:rsidR="004414BE" w:rsidRDefault="004414BE" w:rsidP="004414BE">
      <w:pPr>
        <w:ind w:left="-567" w:firstLine="567"/>
        <w:jc w:val="both"/>
        <w:rPr>
          <w:rFonts w:ascii="Calibri" w:hAnsi="Calibri"/>
          <w:b/>
          <w:sz w:val="28"/>
          <w:szCs w:val="28"/>
          <w:u w:val="single"/>
        </w:rPr>
      </w:pPr>
    </w:p>
    <w:p w:rsidR="003E6C6E" w:rsidRDefault="003E6C6E" w:rsidP="003E6C6E">
      <w:pPr>
        <w:ind w:left="-567" w:firstLine="567"/>
        <w:jc w:val="both"/>
        <w:rPr>
          <w:rFonts w:ascii="Calibri" w:hAnsi="Calibri"/>
          <w:b/>
          <w:sz w:val="28"/>
          <w:szCs w:val="28"/>
          <w:u w:val="single"/>
        </w:rPr>
      </w:pPr>
      <w:r>
        <w:rPr>
          <w:rFonts w:ascii="Calibri" w:hAnsi="Calibri"/>
          <w:b/>
          <w:sz w:val="28"/>
          <w:szCs w:val="28"/>
          <w:u w:val="single"/>
        </w:rPr>
        <w:t>BILANCIO SEPARATO</w:t>
      </w:r>
    </w:p>
    <w:p w:rsidR="003E6C6E" w:rsidRDefault="003E6C6E" w:rsidP="003E6C6E">
      <w:pPr>
        <w:ind w:left="-567" w:firstLine="567"/>
        <w:jc w:val="both"/>
        <w:rPr>
          <w:rFonts w:ascii="Calibri" w:hAnsi="Calibri"/>
          <w:b/>
          <w:sz w:val="28"/>
          <w:szCs w:val="28"/>
          <w:u w:val="single"/>
        </w:rPr>
      </w:pPr>
      <w:r>
        <w:rPr>
          <w:rFonts w:ascii="Calibri" w:hAnsi="Calibri"/>
          <w:b/>
          <w:sz w:val="28"/>
          <w:szCs w:val="28"/>
          <w:u w:val="single"/>
        </w:rPr>
        <w:t>Conto Economico</w:t>
      </w:r>
    </w:p>
    <w:p w:rsidR="003E6C6E" w:rsidRDefault="003E6C6E" w:rsidP="003E6C6E">
      <w:pPr>
        <w:ind w:left="-567" w:firstLine="567"/>
        <w:jc w:val="both"/>
        <w:rPr>
          <w:rFonts w:ascii="Calibri" w:hAnsi="Calibri"/>
          <w:b/>
          <w:sz w:val="28"/>
          <w:szCs w:val="28"/>
          <w:u w:val="single"/>
        </w:rPr>
      </w:pPr>
    </w:p>
    <w:p w:rsidR="003E6C6E" w:rsidRDefault="00914B36" w:rsidP="003E6C6E">
      <w:pPr>
        <w:ind w:left="-567" w:firstLine="567"/>
        <w:jc w:val="both"/>
        <w:rPr>
          <w:rFonts w:ascii="Calibri" w:hAnsi="Calibri"/>
          <w:b/>
          <w:sz w:val="28"/>
          <w:szCs w:val="28"/>
          <w:u w:val="single"/>
        </w:rPr>
      </w:pPr>
      <w:r w:rsidRPr="00914B36">
        <w:rPr>
          <w:noProof/>
        </w:rPr>
        <w:drawing>
          <wp:inline distT="0" distB="0" distL="0" distR="0">
            <wp:extent cx="6210935" cy="5680217"/>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0935" cy="5680217"/>
                    </a:xfrm>
                    <a:prstGeom prst="rect">
                      <a:avLst/>
                    </a:prstGeom>
                    <a:noFill/>
                    <a:ln>
                      <a:noFill/>
                    </a:ln>
                  </pic:spPr>
                </pic:pic>
              </a:graphicData>
            </a:graphic>
          </wp:inline>
        </w:drawing>
      </w:r>
    </w:p>
    <w:p w:rsidR="003E6C6E" w:rsidRDefault="003E6C6E" w:rsidP="003E6C6E">
      <w:pPr>
        <w:ind w:left="-567" w:firstLine="567"/>
        <w:jc w:val="both"/>
        <w:rPr>
          <w:rFonts w:ascii="Calibri" w:hAnsi="Calibri"/>
          <w:b/>
          <w:sz w:val="28"/>
          <w:szCs w:val="28"/>
          <w:u w:val="single"/>
        </w:rPr>
      </w:pPr>
    </w:p>
    <w:p w:rsidR="003E6C6E" w:rsidRDefault="003E6C6E">
      <w:pPr>
        <w:rPr>
          <w:rFonts w:ascii="Calibri" w:hAnsi="Calibri"/>
          <w:b/>
          <w:sz w:val="28"/>
          <w:szCs w:val="28"/>
          <w:u w:val="single"/>
        </w:rPr>
      </w:pPr>
      <w:r>
        <w:rPr>
          <w:rFonts w:ascii="Calibri" w:hAnsi="Calibri"/>
          <w:b/>
          <w:sz w:val="28"/>
          <w:szCs w:val="28"/>
          <w:u w:val="single"/>
        </w:rPr>
        <w:br w:type="page"/>
      </w:r>
    </w:p>
    <w:p w:rsidR="004414BE" w:rsidRDefault="004414BE" w:rsidP="004414BE">
      <w:pPr>
        <w:ind w:left="-567" w:firstLine="567"/>
        <w:jc w:val="both"/>
        <w:rPr>
          <w:rFonts w:ascii="Calibri" w:hAnsi="Calibri"/>
          <w:b/>
          <w:sz w:val="28"/>
          <w:szCs w:val="28"/>
          <w:u w:val="single"/>
        </w:rPr>
      </w:pPr>
      <w:r>
        <w:rPr>
          <w:rFonts w:ascii="Calibri" w:hAnsi="Calibri"/>
          <w:b/>
          <w:sz w:val="28"/>
          <w:szCs w:val="28"/>
          <w:u w:val="single"/>
        </w:rPr>
        <w:lastRenderedPageBreak/>
        <w:t>BILANCIO SEPARATO PANARIAGROUP INDUSTRIE CERAMICHE SPA</w:t>
      </w:r>
    </w:p>
    <w:p w:rsidR="004414BE" w:rsidRDefault="004414BE" w:rsidP="004414BE">
      <w:pPr>
        <w:ind w:left="-567" w:firstLine="567"/>
        <w:jc w:val="both"/>
        <w:rPr>
          <w:rFonts w:ascii="Calibri" w:hAnsi="Calibri"/>
          <w:b/>
          <w:sz w:val="28"/>
          <w:szCs w:val="28"/>
          <w:u w:val="single"/>
        </w:rPr>
      </w:pPr>
      <w:r>
        <w:rPr>
          <w:rFonts w:ascii="Calibri" w:hAnsi="Calibri"/>
          <w:b/>
          <w:sz w:val="28"/>
          <w:szCs w:val="28"/>
          <w:u w:val="single"/>
        </w:rPr>
        <w:t>Situazione Patrimoniale – Finanziaria</w:t>
      </w:r>
    </w:p>
    <w:p w:rsidR="003E6C6E" w:rsidRDefault="003E6C6E" w:rsidP="004414BE">
      <w:pPr>
        <w:ind w:left="-567" w:firstLine="567"/>
        <w:jc w:val="both"/>
        <w:rPr>
          <w:rFonts w:ascii="Calibri" w:hAnsi="Calibri"/>
          <w:b/>
          <w:sz w:val="28"/>
          <w:szCs w:val="28"/>
          <w:u w:val="single"/>
        </w:rPr>
      </w:pPr>
    </w:p>
    <w:p w:rsidR="00D93B22" w:rsidRPr="00D93B22" w:rsidRDefault="003E6C6E" w:rsidP="00D93B22">
      <w:pPr>
        <w:ind w:left="-567" w:firstLine="567"/>
        <w:jc w:val="both"/>
        <w:rPr>
          <w:rFonts w:ascii="Calibri" w:hAnsi="Calibri"/>
          <w:b/>
          <w:sz w:val="28"/>
          <w:szCs w:val="28"/>
          <w:u w:val="single"/>
        </w:rPr>
      </w:pPr>
      <w:r w:rsidRPr="003E6C6E">
        <w:rPr>
          <w:noProof/>
        </w:rPr>
        <w:drawing>
          <wp:inline distT="0" distB="0" distL="0" distR="0">
            <wp:extent cx="5204003" cy="731842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3489" cy="7331768"/>
                    </a:xfrm>
                    <a:prstGeom prst="rect">
                      <a:avLst/>
                    </a:prstGeom>
                    <a:noFill/>
                    <a:ln>
                      <a:noFill/>
                    </a:ln>
                  </pic:spPr>
                </pic:pic>
              </a:graphicData>
            </a:graphic>
          </wp:inline>
        </w:drawing>
      </w:r>
    </w:p>
    <w:p w:rsidR="00D93B22" w:rsidRPr="00E7216C" w:rsidRDefault="00D93B22" w:rsidP="00D93B22">
      <w:pPr>
        <w:ind w:left="-567" w:firstLine="567"/>
        <w:jc w:val="both"/>
        <w:rPr>
          <w:rFonts w:ascii="Calibri" w:hAnsi="Calibri"/>
          <w:sz w:val="22"/>
          <w:szCs w:val="22"/>
          <w:u w:val="single"/>
        </w:rPr>
      </w:pPr>
    </w:p>
    <w:p w:rsidR="007C16AC" w:rsidRPr="00957D90" w:rsidRDefault="007C16AC" w:rsidP="00083185">
      <w:pPr>
        <w:jc w:val="both"/>
        <w:rPr>
          <w:rFonts w:ascii="Arial" w:hAnsi="Arial" w:cs="Arial"/>
          <w:b/>
          <w:bCs/>
        </w:rPr>
      </w:pPr>
    </w:p>
    <w:sectPr w:rsidR="007C16AC" w:rsidRPr="00957D90" w:rsidSect="000227AA">
      <w:headerReference w:type="default" r:id="rId22"/>
      <w:footerReference w:type="even" r:id="rId23"/>
      <w:footerReference w:type="default" r:id="rId24"/>
      <w:footnotePr>
        <w:pos w:val="sectEnd"/>
      </w:footnotePr>
      <w:endnotePr>
        <w:numFmt w:val="decimal"/>
        <w:numStart w:val="0"/>
      </w:endnotePr>
      <w:pgSz w:w="11907" w:h="16840" w:code="9"/>
      <w:pgMar w:top="1701" w:right="992" w:bottom="1134" w:left="1134" w:header="794" w:footer="454"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B58" w:rsidRDefault="004D0B58">
      <w:r>
        <w:separator/>
      </w:r>
    </w:p>
  </w:endnote>
  <w:endnote w:type="continuationSeparator" w:id="0">
    <w:p w:rsidR="004D0B58" w:rsidRDefault="004D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charset w:val="00"/>
    <w:family w:val="auto"/>
    <w:pitch w:val="default"/>
  </w:font>
  <w:font w:name="GoudyOldStyT">
    <w:altName w:val="Georgia"/>
    <w:charset w:val="00"/>
    <w:family w:val="swiss"/>
    <w:pitch w:val="variable"/>
    <w:sig w:usb0="00000007" w:usb1="00000000" w:usb2="00000000" w:usb3="00000000" w:csb0="00000013" w:csb1="00000000"/>
  </w:font>
  <w:font w:name="GoudyOlSt BT">
    <w:altName w:val="Georgia"/>
    <w:charset w:val="00"/>
    <w:family w:val="roman"/>
    <w:pitch w:val="variable"/>
    <w:sig w:usb0="00000087" w:usb1="00000000" w:usb2="00000000" w:usb3="00000000" w:csb0="0000001B" w:csb1="00000000"/>
  </w:font>
  <w:font w:name="URWBodoniTLigNar">
    <w:altName w:val="Calibri"/>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6C" w:rsidRDefault="00BE396C" w:rsidP="00AC2EE0">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6C" w:rsidRPr="00CA48C8" w:rsidRDefault="00BE396C" w:rsidP="000227AA">
    <w:pPr>
      <w:pStyle w:val="Pidipagina"/>
      <w:tabs>
        <w:tab w:val="clear" w:pos="4819"/>
        <w:tab w:val="clear" w:pos="9638"/>
        <w:tab w:val="center" w:pos="4890"/>
        <w:tab w:val="right" w:pos="9781"/>
      </w:tabs>
      <w:rPr>
        <w:rFonts w:ascii="Calibri" w:hAnsi="Calibri"/>
        <w:sz w:val="16"/>
        <w:szCs w:val="16"/>
      </w:rPr>
    </w:pPr>
    <w:r w:rsidRPr="00CA48C8">
      <w:rPr>
        <w:rFonts w:ascii="Calibri" w:hAnsi="Calibri"/>
        <w:sz w:val="16"/>
        <w:szCs w:val="16"/>
      </w:rPr>
      <w:fldChar w:fldCharType="begin"/>
    </w:r>
    <w:r w:rsidRPr="00CA48C8">
      <w:rPr>
        <w:rFonts w:ascii="Calibri" w:hAnsi="Calibri"/>
        <w:sz w:val="16"/>
        <w:szCs w:val="16"/>
      </w:rPr>
      <w:instrText xml:space="preserve"> PAGE   \* MERGEFORMAT </w:instrText>
    </w:r>
    <w:r w:rsidRPr="00CA48C8">
      <w:rPr>
        <w:rFonts w:ascii="Calibri" w:hAnsi="Calibri"/>
        <w:sz w:val="16"/>
        <w:szCs w:val="16"/>
      </w:rPr>
      <w:fldChar w:fldCharType="separate"/>
    </w:r>
    <w:r w:rsidR="00B11373">
      <w:rPr>
        <w:rFonts w:ascii="Calibri" w:hAnsi="Calibri"/>
        <w:noProof/>
        <w:sz w:val="16"/>
        <w:szCs w:val="16"/>
      </w:rPr>
      <w:t>1</w:t>
    </w:r>
    <w:r w:rsidRPr="00CA48C8">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B58" w:rsidRDefault="004D0B58">
      <w:r>
        <w:separator/>
      </w:r>
    </w:p>
  </w:footnote>
  <w:footnote w:type="continuationSeparator" w:id="0">
    <w:p w:rsidR="004D0B58" w:rsidRDefault="004D0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6C" w:rsidRPr="00183DBB" w:rsidRDefault="00BE396C" w:rsidP="007F2FD9">
    <w:pPr>
      <w:pStyle w:val="Intestazione"/>
      <w:spacing w:line="276" w:lineRule="auto"/>
      <w:jc w:val="center"/>
      <w:rPr>
        <w:rFonts w:ascii="Calibri" w:hAnsi="Calibri" w:cs="Calibri"/>
      </w:rPr>
    </w:pPr>
    <w:r w:rsidRPr="00392F5B">
      <w:rPr>
        <w:rFonts w:ascii="Calibri" w:hAnsi="Calibri" w:cs="Calibri"/>
        <w:noProof/>
      </w:rPr>
      <w:drawing>
        <wp:inline distT="0" distB="0" distL="0" distR="0" wp14:anchorId="231EB973" wp14:editId="6CBD2467">
          <wp:extent cx="3596005" cy="333375"/>
          <wp:effectExtent l="0" t="0" r="0" b="0"/>
          <wp:docPr id="10" name="Immagine 5" descr="PGR nuovo logo 2017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GR nuovo logo 2017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6005" cy="333375"/>
                  </a:xfrm>
                  <a:prstGeom prst="rect">
                    <a:avLst/>
                  </a:prstGeom>
                  <a:noFill/>
                  <a:ln>
                    <a:noFill/>
                  </a:ln>
                </pic:spPr>
              </pic:pic>
            </a:graphicData>
          </a:graphic>
        </wp:inline>
      </w:drawing>
    </w:r>
  </w:p>
  <w:p w:rsidR="00BE396C" w:rsidRPr="00183DBB" w:rsidRDefault="00BE396C" w:rsidP="00067144">
    <w:pPr>
      <w:jc w:val="center"/>
      <w:rPr>
        <w:rFonts w:ascii="Calibri" w:hAnsi="Calibri" w:cs="Calibri"/>
        <w:color w:val="2F5496"/>
        <w:sz w:val="16"/>
        <w:szCs w:val="16"/>
      </w:rPr>
    </w:pPr>
  </w:p>
  <w:p w:rsidR="00BE396C" w:rsidRPr="00183DBB" w:rsidRDefault="00BE396C" w:rsidP="00AC2EE0">
    <w:pPr>
      <w:jc w:val="center"/>
      <w:rPr>
        <w:rFonts w:ascii="Calibri" w:hAnsi="Calibri" w:cs="Calibri"/>
        <w:color w:val="2F5496"/>
      </w:rPr>
    </w:pPr>
    <w:r w:rsidRPr="00183DBB">
      <w:rPr>
        <w:rFonts w:ascii="Calibri" w:hAnsi="Calibri" w:cs="Calibri"/>
        <w:color w:val="2F5496"/>
      </w:rPr>
      <w:t>___________________________________</w:t>
    </w:r>
  </w:p>
  <w:p w:rsidR="00BE396C" w:rsidRPr="00183DBB" w:rsidRDefault="00BE396C" w:rsidP="00AC2EE0">
    <w:pPr>
      <w:jc w:val="center"/>
      <w:rPr>
        <w:rFonts w:ascii="Calibri" w:hAnsi="Calibri" w:cs="Calibri"/>
        <w:color w:val="2F5496"/>
      </w:rPr>
    </w:pPr>
  </w:p>
  <w:p w:rsidR="00BE396C" w:rsidRPr="00183DBB" w:rsidRDefault="00BE396C" w:rsidP="00AC2EE0">
    <w:pPr>
      <w:jc w:val="center"/>
      <w:rPr>
        <w:rFonts w:ascii="Calibri" w:hAnsi="Calibri" w:cs="Calibri"/>
        <w:color w:val="2F549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78D"/>
    <w:multiLevelType w:val="hybridMultilevel"/>
    <w:tmpl w:val="1C0C424E"/>
    <w:lvl w:ilvl="0" w:tplc="245C4A70">
      <w:start w:val="3"/>
      <w:numFmt w:val="bullet"/>
      <w:lvlText w:val="-"/>
      <w:lvlJc w:val="left"/>
      <w:pPr>
        <w:tabs>
          <w:tab w:val="num" w:pos="720"/>
        </w:tabs>
        <w:ind w:left="720" w:hanging="360"/>
      </w:pPr>
      <w:rPr>
        <w:rFonts w:ascii="Arial" w:eastAsia="Batang"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A653C"/>
    <w:multiLevelType w:val="hybridMultilevel"/>
    <w:tmpl w:val="59C6545C"/>
    <w:lvl w:ilvl="0" w:tplc="04100005">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8A67865"/>
    <w:multiLevelType w:val="hybridMultilevel"/>
    <w:tmpl w:val="F66ACBE8"/>
    <w:lvl w:ilvl="0" w:tplc="2CC05122">
      <w:start w:val="4"/>
      <w:numFmt w:val="bullet"/>
      <w:lvlText w:val=""/>
      <w:lvlJc w:val="left"/>
      <w:pPr>
        <w:tabs>
          <w:tab w:val="num" w:pos="720"/>
        </w:tabs>
        <w:ind w:left="720" w:hanging="360"/>
      </w:pPr>
      <w:rPr>
        <w:rFonts w:ascii="Symbol" w:eastAsia="Batang" w:hAnsi="Symbol" w:cs="Arial" w:hint="default"/>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05A75"/>
    <w:multiLevelType w:val="hybridMultilevel"/>
    <w:tmpl w:val="E8EE718A"/>
    <w:lvl w:ilvl="0" w:tplc="0C6CE01E">
      <w:start w:val="3"/>
      <w:numFmt w:val="bullet"/>
      <w:lvlText w:val="-"/>
      <w:lvlJc w:val="left"/>
      <w:pPr>
        <w:tabs>
          <w:tab w:val="num" w:pos="1800"/>
        </w:tabs>
        <w:ind w:left="1800" w:hanging="360"/>
      </w:pPr>
      <w:rPr>
        <w:rFonts w:ascii="Times New Roman" w:eastAsia="Batang"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96C129D"/>
    <w:multiLevelType w:val="multilevel"/>
    <w:tmpl w:val="73342E2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9D43246"/>
    <w:multiLevelType w:val="hybridMultilevel"/>
    <w:tmpl w:val="EE4A54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574D39"/>
    <w:multiLevelType w:val="hybridMultilevel"/>
    <w:tmpl w:val="A7FACFC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92C59"/>
    <w:multiLevelType w:val="hybridMultilevel"/>
    <w:tmpl w:val="75FE3676"/>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2004DE9"/>
    <w:multiLevelType w:val="hybridMultilevel"/>
    <w:tmpl w:val="A7BC4688"/>
    <w:lvl w:ilvl="0" w:tplc="5CA6E5DE">
      <w:start w:val="1"/>
      <w:numFmt w:val="decimal"/>
      <w:lvlText w:val="%1."/>
      <w:lvlJc w:val="left"/>
      <w:pPr>
        <w:tabs>
          <w:tab w:val="num" w:pos="720"/>
        </w:tabs>
        <w:ind w:left="720" w:hanging="360"/>
      </w:pPr>
      <w:rPr>
        <w:rFonts w:hint="default"/>
      </w:rPr>
    </w:lvl>
    <w:lvl w:ilvl="1" w:tplc="0B8A0E52">
      <w:numFmt w:val="none"/>
      <w:lvlText w:val=""/>
      <w:lvlJc w:val="left"/>
      <w:pPr>
        <w:tabs>
          <w:tab w:val="num" w:pos="360"/>
        </w:tabs>
      </w:pPr>
    </w:lvl>
    <w:lvl w:ilvl="2" w:tplc="C3261D4E">
      <w:numFmt w:val="none"/>
      <w:lvlText w:val=""/>
      <w:lvlJc w:val="left"/>
      <w:pPr>
        <w:tabs>
          <w:tab w:val="num" w:pos="360"/>
        </w:tabs>
      </w:pPr>
    </w:lvl>
    <w:lvl w:ilvl="3" w:tplc="B6462374">
      <w:numFmt w:val="none"/>
      <w:lvlText w:val=""/>
      <w:lvlJc w:val="left"/>
      <w:pPr>
        <w:tabs>
          <w:tab w:val="num" w:pos="360"/>
        </w:tabs>
      </w:pPr>
    </w:lvl>
    <w:lvl w:ilvl="4" w:tplc="9F701030">
      <w:numFmt w:val="none"/>
      <w:lvlText w:val=""/>
      <w:lvlJc w:val="left"/>
      <w:pPr>
        <w:tabs>
          <w:tab w:val="num" w:pos="360"/>
        </w:tabs>
      </w:pPr>
    </w:lvl>
    <w:lvl w:ilvl="5" w:tplc="41B06E3A">
      <w:numFmt w:val="none"/>
      <w:lvlText w:val=""/>
      <w:lvlJc w:val="left"/>
      <w:pPr>
        <w:tabs>
          <w:tab w:val="num" w:pos="360"/>
        </w:tabs>
      </w:pPr>
    </w:lvl>
    <w:lvl w:ilvl="6" w:tplc="0A501E92">
      <w:numFmt w:val="none"/>
      <w:lvlText w:val=""/>
      <w:lvlJc w:val="left"/>
      <w:pPr>
        <w:tabs>
          <w:tab w:val="num" w:pos="360"/>
        </w:tabs>
      </w:pPr>
    </w:lvl>
    <w:lvl w:ilvl="7" w:tplc="130C2FE4">
      <w:numFmt w:val="none"/>
      <w:lvlText w:val=""/>
      <w:lvlJc w:val="left"/>
      <w:pPr>
        <w:tabs>
          <w:tab w:val="num" w:pos="360"/>
        </w:tabs>
      </w:pPr>
    </w:lvl>
    <w:lvl w:ilvl="8" w:tplc="843C932A">
      <w:numFmt w:val="none"/>
      <w:lvlText w:val=""/>
      <w:lvlJc w:val="left"/>
      <w:pPr>
        <w:tabs>
          <w:tab w:val="num" w:pos="360"/>
        </w:tabs>
      </w:pPr>
    </w:lvl>
  </w:abstractNum>
  <w:abstractNum w:abstractNumId="9" w15:restartNumberingAfterBreak="0">
    <w:nsid w:val="13543E45"/>
    <w:multiLevelType w:val="hybridMultilevel"/>
    <w:tmpl w:val="E1BC9F0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5325801"/>
    <w:multiLevelType w:val="multilevel"/>
    <w:tmpl w:val="FE521F44"/>
    <w:lvl w:ilvl="0">
      <w:start w:val="4"/>
      <w:numFmt w:val="decimal"/>
      <w:lvlText w:val="%1"/>
      <w:lvlJc w:val="left"/>
      <w:pPr>
        <w:tabs>
          <w:tab w:val="num" w:pos="360"/>
        </w:tabs>
        <w:ind w:left="360" w:hanging="360"/>
      </w:pPr>
      <w:rPr>
        <w:rFonts w:hint="default"/>
        <w:sz w:val="20"/>
        <w:u w:val="single"/>
      </w:rPr>
    </w:lvl>
    <w:lvl w:ilvl="1">
      <w:start w:val="3"/>
      <w:numFmt w:val="decimal"/>
      <w:lvlText w:val="%1.%2"/>
      <w:lvlJc w:val="left"/>
      <w:pPr>
        <w:tabs>
          <w:tab w:val="num" w:pos="720"/>
        </w:tabs>
        <w:ind w:left="720" w:hanging="360"/>
      </w:pPr>
      <w:rPr>
        <w:rFonts w:hint="default"/>
        <w:sz w:val="20"/>
        <w:u w:val="none"/>
      </w:rPr>
    </w:lvl>
    <w:lvl w:ilvl="2">
      <w:start w:val="1"/>
      <w:numFmt w:val="decimal"/>
      <w:lvlText w:val="%1.%2.%3"/>
      <w:lvlJc w:val="left"/>
      <w:pPr>
        <w:tabs>
          <w:tab w:val="num" w:pos="1440"/>
        </w:tabs>
        <w:ind w:left="1440" w:hanging="720"/>
      </w:pPr>
      <w:rPr>
        <w:rFonts w:hint="default"/>
        <w:sz w:val="20"/>
        <w:u w:val="single"/>
      </w:rPr>
    </w:lvl>
    <w:lvl w:ilvl="3">
      <w:start w:val="1"/>
      <w:numFmt w:val="decimal"/>
      <w:lvlText w:val="%1.%2.%3.%4"/>
      <w:lvlJc w:val="left"/>
      <w:pPr>
        <w:tabs>
          <w:tab w:val="num" w:pos="2160"/>
        </w:tabs>
        <w:ind w:left="2160" w:hanging="1080"/>
      </w:pPr>
      <w:rPr>
        <w:rFonts w:hint="default"/>
        <w:sz w:val="20"/>
        <w:u w:val="single"/>
      </w:rPr>
    </w:lvl>
    <w:lvl w:ilvl="4">
      <w:start w:val="1"/>
      <w:numFmt w:val="decimal"/>
      <w:lvlText w:val="%1.%2.%3.%4.%5"/>
      <w:lvlJc w:val="left"/>
      <w:pPr>
        <w:tabs>
          <w:tab w:val="num" w:pos="2520"/>
        </w:tabs>
        <w:ind w:left="2520" w:hanging="1080"/>
      </w:pPr>
      <w:rPr>
        <w:rFonts w:hint="default"/>
        <w:sz w:val="20"/>
        <w:u w:val="single"/>
      </w:rPr>
    </w:lvl>
    <w:lvl w:ilvl="5">
      <w:start w:val="1"/>
      <w:numFmt w:val="decimal"/>
      <w:lvlText w:val="%1.%2.%3.%4.%5.%6"/>
      <w:lvlJc w:val="left"/>
      <w:pPr>
        <w:tabs>
          <w:tab w:val="num" w:pos="3240"/>
        </w:tabs>
        <w:ind w:left="3240" w:hanging="1440"/>
      </w:pPr>
      <w:rPr>
        <w:rFonts w:hint="default"/>
        <w:sz w:val="20"/>
        <w:u w:val="single"/>
      </w:rPr>
    </w:lvl>
    <w:lvl w:ilvl="6">
      <w:start w:val="1"/>
      <w:numFmt w:val="decimal"/>
      <w:lvlText w:val="%1.%2.%3.%4.%5.%6.%7"/>
      <w:lvlJc w:val="left"/>
      <w:pPr>
        <w:tabs>
          <w:tab w:val="num" w:pos="3600"/>
        </w:tabs>
        <w:ind w:left="3600" w:hanging="1440"/>
      </w:pPr>
      <w:rPr>
        <w:rFonts w:hint="default"/>
        <w:sz w:val="20"/>
        <w:u w:val="single"/>
      </w:rPr>
    </w:lvl>
    <w:lvl w:ilvl="7">
      <w:start w:val="1"/>
      <w:numFmt w:val="decimal"/>
      <w:lvlText w:val="%1.%2.%3.%4.%5.%6.%7.%8"/>
      <w:lvlJc w:val="left"/>
      <w:pPr>
        <w:tabs>
          <w:tab w:val="num" w:pos="4320"/>
        </w:tabs>
        <w:ind w:left="4320" w:hanging="1800"/>
      </w:pPr>
      <w:rPr>
        <w:rFonts w:hint="default"/>
        <w:sz w:val="20"/>
        <w:u w:val="single"/>
      </w:rPr>
    </w:lvl>
    <w:lvl w:ilvl="8">
      <w:start w:val="1"/>
      <w:numFmt w:val="decimal"/>
      <w:lvlText w:val="%1.%2.%3.%4.%5.%6.%7.%8.%9"/>
      <w:lvlJc w:val="left"/>
      <w:pPr>
        <w:tabs>
          <w:tab w:val="num" w:pos="4680"/>
        </w:tabs>
        <w:ind w:left="4680" w:hanging="1800"/>
      </w:pPr>
      <w:rPr>
        <w:rFonts w:hint="default"/>
        <w:sz w:val="20"/>
        <w:u w:val="single"/>
      </w:rPr>
    </w:lvl>
  </w:abstractNum>
  <w:abstractNum w:abstractNumId="11" w15:restartNumberingAfterBreak="0">
    <w:nsid w:val="16420DAB"/>
    <w:multiLevelType w:val="hybridMultilevel"/>
    <w:tmpl w:val="A7BC4688"/>
    <w:lvl w:ilvl="0" w:tplc="5CA6E5DE">
      <w:start w:val="1"/>
      <w:numFmt w:val="decimal"/>
      <w:lvlText w:val="%1."/>
      <w:lvlJc w:val="left"/>
      <w:pPr>
        <w:tabs>
          <w:tab w:val="num" w:pos="720"/>
        </w:tabs>
        <w:ind w:left="720" w:hanging="360"/>
      </w:pPr>
      <w:rPr>
        <w:rFonts w:hint="default"/>
      </w:rPr>
    </w:lvl>
    <w:lvl w:ilvl="1" w:tplc="0B8A0E52">
      <w:numFmt w:val="none"/>
      <w:lvlText w:val=""/>
      <w:lvlJc w:val="left"/>
      <w:pPr>
        <w:tabs>
          <w:tab w:val="num" w:pos="360"/>
        </w:tabs>
      </w:pPr>
    </w:lvl>
    <w:lvl w:ilvl="2" w:tplc="C3261D4E">
      <w:numFmt w:val="none"/>
      <w:lvlText w:val=""/>
      <w:lvlJc w:val="left"/>
      <w:pPr>
        <w:tabs>
          <w:tab w:val="num" w:pos="360"/>
        </w:tabs>
      </w:pPr>
    </w:lvl>
    <w:lvl w:ilvl="3" w:tplc="B6462374">
      <w:numFmt w:val="none"/>
      <w:lvlText w:val=""/>
      <w:lvlJc w:val="left"/>
      <w:pPr>
        <w:tabs>
          <w:tab w:val="num" w:pos="360"/>
        </w:tabs>
      </w:pPr>
    </w:lvl>
    <w:lvl w:ilvl="4" w:tplc="9F701030">
      <w:numFmt w:val="none"/>
      <w:lvlText w:val=""/>
      <w:lvlJc w:val="left"/>
      <w:pPr>
        <w:tabs>
          <w:tab w:val="num" w:pos="360"/>
        </w:tabs>
      </w:pPr>
    </w:lvl>
    <w:lvl w:ilvl="5" w:tplc="41B06E3A">
      <w:numFmt w:val="none"/>
      <w:lvlText w:val=""/>
      <w:lvlJc w:val="left"/>
      <w:pPr>
        <w:tabs>
          <w:tab w:val="num" w:pos="360"/>
        </w:tabs>
      </w:pPr>
    </w:lvl>
    <w:lvl w:ilvl="6" w:tplc="0A501E92">
      <w:numFmt w:val="none"/>
      <w:lvlText w:val=""/>
      <w:lvlJc w:val="left"/>
      <w:pPr>
        <w:tabs>
          <w:tab w:val="num" w:pos="360"/>
        </w:tabs>
      </w:pPr>
    </w:lvl>
    <w:lvl w:ilvl="7" w:tplc="130C2FE4">
      <w:numFmt w:val="none"/>
      <w:lvlText w:val=""/>
      <w:lvlJc w:val="left"/>
      <w:pPr>
        <w:tabs>
          <w:tab w:val="num" w:pos="360"/>
        </w:tabs>
      </w:pPr>
    </w:lvl>
    <w:lvl w:ilvl="8" w:tplc="843C932A">
      <w:numFmt w:val="none"/>
      <w:lvlText w:val=""/>
      <w:lvlJc w:val="left"/>
      <w:pPr>
        <w:tabs>
          <w:tab w:val="num" w:pos="360"/>
        </w:tabs>
      </w:pPr>
    </w:lvl>
  </w:abstractNum>
  <w:abstractNum w:abstractNumId="12" w15:restartNumberingAfterBreak="0">
    <w:nsid w:val="197F4B31"/>
    <w:multiLevelType w:val="hybridMultilevel"/>
    <w:tmpl w:val="D6E0DFFA"/>
    <w:lvl w:ilvl="0" w:tplc="DD7EA7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CAF116E"/>
    <w:multiLevelType w:val="multilevel"/>
    <w:tmpl w:val="BE5C5E6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F1A575B"/>
    <w:multiLevelType w:val="multilevel"/>
    <w:tmpl w:val="FB12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095975"/>
    <w:multiLevelType w:val="hybridMultilevel"/>
    <w:tmpl w:val="AED0E404"/>
    <w:lvl w:ilvl="0" w:tplc="A11C2BA4">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3576FA9"/>
    <w:multiLevelType w:val="hybridMultilevel"/>
    <w:tmpl w:val="62D89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3E7235"/>
    <w:multiLevelType w:val="hybridMultilevel"/>
    <w:tmpl w:val="1BF6F86E"/>
    <w:lvl w:ilvl="0" w:tplc="2D629386">
      <w:start w:val="2"/>
      <w:numFmt w:val="decimal"/>
      <w:lvlText w:val="%1."/>
      <w:lvlJc w:val="left"/>
      <w:pPr>
        <w:tabs>
          <w:tab w:val="num" w:pos="720"/>
        </w:tabs>
        <w:ind w:left="720" w:hanging="360"/>
      </w:pPr>
      <w:rPr>
        <w:rFonts w:hint="default"/>
      </w:rPr>
    </w:lvl>
    <w:lvl w:ilvl="1" w:tplc="11D2F408">
      <w:numFmt w:val="none"/>
      <w:lvlText w:val=""/>
      <w:lvlJc w:val="left"/>
      <w:pPr>
        <w:tabs>
          <w:tab w:val="num" w:pos="360"/>
        </w:tabs>
      </w:pPr>
    </w:lvl>
    <w:lvl w:ilvl="2" w:tplc="5B7E64DC">
      <w:numFmt w:val="none"/>
      <w:lvlText w:val=""/>
      <w:lvlJc w:val="left"/>
      <w:pPr>
        <w:tabs>
          <w:tab w:val="num" w:pos="360"/>
        </w:tabs>
      </w:pPr>
    </w:lvl>
    <w:lvl w:ilvl="3" w:tplc="E17E1B54">
      <w:numFmt w:val="none"/>
      <w:lvlText w:val=""/>
      <w:lvlJc w:val="left"/>
      <w:pPr>
        <w:tabs>
          <w:tab w:val="num" w:pos="360"/>
        </w:tabs>
      </w:pPr>
    </w:lvl>
    <w:lvl w:ilvl="4" w:tplc="C1380382">
      <w:numFmt w:val="none"/>
      <w:lvlText w:val=""/>
      <w:lvlJc w:val="left"/>
      <w:pPr>
        <w:tabs>
          <w:tab w:val="num" w:pos="360"/>
        </w:tabs>
      </w:pPr>
    </w:lvl>
    <w:lvl w:ilvl="5" w:tplc="E9CCB5AA">
      <w:numFmt w:val="none"/>
      <w:lvlText w:val=""/>
      <w:lvlJc w:val="left"/>
      <w:pPr>
        <w:tabs>
          <w:tab w:val="num" w:pos="360"/>
        </w:tabs>
      </w:pPr>
    </w:lvl>
    <w:lvl w:ilvl="6" w:tplc="D60AF3F2">
      <w:numFmt w:val="none"/>
      <w:lvlText w:val=""/>
      <w:lvlJc w:val="left"/>
      <w:pPr>
        <w:tabs>
          <w:tab w:val="num" w:pos="360"/>
        </w:tabs>
      </w:pPr>
    </w:lvl>
    <w:lvl w:ilvl="7" w:tplc="166C9D70">
      <w:numFmt w:val="none"/>
      <w:lvlText w:val=""/>
      <w:lvlJc w:val="left"/>
      <w:pPr>
        <w:tabs>
          <w:tab w:val="num" w:pos="360"/>
        </w:tabs>
      </w:pPr>
    </w:lvl>
    <w:lvl w:ilvl="8" w:tplc="65C84148">
      <w:numFmt w:val="none"/>
      <w:lvlText w:val=""/>
      <w:lvlJc w:val="left"/>
      <w:pPr>
        <w:tabs>
          <w:tab w:val="num" w:pos="360"/>
        </w:tabs>
      </w:pPr>
    </w:lvl>
  </w:abstractNum>
  <w:abstractNum w:abstractNumId="18" w15:restartNumberingAfterBreak="0">
    <w:nsid w:val="258E7B96"/>
    <w:multiLevelType w:val="hybridMultilevel"/>
    <w:tmpl w:val="E71A65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8F079C"/>
    <w:multiLevelType w:val="hybridMultilevel"/>
    <w:tmpl w:val="44CA4D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B6D3245"/>
    <w:multiLevelType w:val="hybridMultilevel"/>
    <w:tmpl w:val="16E6BB8C"/>
    <w:lvl w:ilvl="0" w:tplc="0410000F">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D4C7B75"/>
    <w:multiLevelType w:val="multilevel"/>
    <w:tmpl w:val="38FC8C5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2E5956C2"/>
    <w:multiLevelType w:val="hybridMultilevel"/>
    <w:tmpl w:val="1BF6F86E"/>
    <w:lvl w:ilvl="0" w:tplc="2D629386">
      <w:start w:val="2"/>
      <w:numFmt w:val="decimal"/>
      <w:lvlText w:val="%1."/>
      <w:lvlJc w:val="left"/>
      <w:pPr>
        <w:tabs>
          <w:tab w:val="num" w:pos="720"/>
        </w:tabs>
        <w:ind w:left="720" w:hanging="360"/>
      </w:pPr>
      <w:rPr>
        <w:rFonts w:hint="default"/>
      </w:rPr>
    </w:lvl>
    <w:lvl w:ilvl="1" w:tplc="11D2F408">
      <w:numFmt w:val="none"/>
      <w:lvlText w:val=""/>
      <w:lvlJc w:val="left"/>
      <w:pPr>
        <w:tabs>
          <w:tab w:val="num" w:pos="360"/>
        </w:tabs>
      </w:pPr>
    </w:lvl>
    <w:lvl w:ilvl="2" w:tplc="5B7E64DC">
      <w:numFmt w:val="none"/>
      <w:lvlText w:val=""/>
      <w:lvlJc w:val="left"/>
      <w:pPr>
        <w:tabs>
          <w:tab w:val="num" w:pos="360"/>
        </w:tabs>
      </w:pPr>
    </w:lvl>
    <w:lvl w:ilvl="3" w:tplc="E17E1B54">
      <w:numFmt w:val="none"/>
      <w:lvlText w:val=""/>
      <w:lvlJc w:val="left"/>
      <w:pPr>
        <w:tabs>
          <w:tab w:val="num" w:pos="360"/>
        </w:tabs>
      </w:pPr>
    </w:lvl>
    <w:lvl w:ilvl="4" w:tplc="C1380382">
      <w:numFmt w:val="none"/>
      <w:lvlText w:val=""/>
      <w:lvlJc w:val="left"/>
      <w:pPr>
        <w:tabs>
          <w:tab w:val="num" w:pos="360"/>
        </w:tabs>
      </w:pPr>
    </w:lvl>
    <w:lvl w:ilvl="5" w:tplc="E9CCB5AA">
      <w:numFmt w:val="none"/>
      <w:lvlText w:val=""/>
      <w:lvlJc w:val="left"/>
      <w:pPr>
        <w:tabs>
          <w:tab w:val="num" w:pos="360"/>
        </w:tabs>
      </w:pPr>
    </w:lvl>
    <w:lvl w:ilvl="6" w:tplc="D60AF3F2">
      <w:numFmt w:val="none"/>
      <w:lvlText w:val=""/>
      <w:lvlJc w:val="left"/>
      <w:pPr>
        <w:tabs>
          <w:tab w:val="num" w:pos="360"/>
        </w:tabs>
      </w:pPr>
    </w:lvl>
    <w:lvl w:ilvl="7" w:tplc="166C9D70">
      <w:numFmt w:val="none"/>
      <w:lvlText w:val=""/>
      <w:lvlJc w:val="left"/>
      <w:pPr>
        <w:tabs>
          <w:tab w:val="num" w:pos="360"/>
        </w:tabs>
      </w:pPr>
    </w:lvl>
    <w:lvl w:ilvl="8" w:tplc="65C84148">
      <w:numFmt w:val="none"/>
      <w:lvlText w:val=""/>
      <w:lvlJc w:val="left"/>
      <w:pPr>
        <w:tabs>
          <w:tab w:val="num" w:pos="360"/>
        </w:tabs>
      </w:pPr>
    </w:lvl>
  </w:abstractNum>
  <w:abstractNum w:abstractNumId="23" w15:restartNumberingAfterBreak="0">
    <w:nsid w:val="31EA17F7"/>
    <w:multiLevelType w:val="hybridMultilevel"/>
    <w:tmpl w:val="215AD76C"/>
    <w:lvl w:ilvl="0" w:tplc="0410000F">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6BD21AA"/>
    <w:multiLevelType w:val="hybridMultilevel"/>
    <w:tmpl w:val="7606600E"/>
    <w:lvl w:ilvl="0" w:tplc="D9E256D4">
      <w:start w:val="3"/>
      <w:numFmt w:val="bullet"/>
      <w:lvlText w:val="-"/>
      <w:lvlJc w:val="left"/>
      <w:pPr>
        <w:tabs>
          <w:tab w:val="num" w:pos="720"/>
        </w:tabs>
        <w:ind w:left="720" w:hanging="360"/>
      </w:pPr>
      <w:rPr>
        <w:rFonts w:ascii="Arial" w:eastAsia="Batang"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9F6883"/>
    <w:multiLevelType w:val="hybridMultilevel"/>
    <w:tmpl w:val="5688153E"/>
    <w:lvl w:ilvl="0" w:tplc="04100001">
      <w:start w:val="1"/>
      <w:numFmt w:val="bullet"/>
      <w:lvlText w:val=""/>
      <w:lvlJc w:val="left"/>
      <w:pPr>
        <w:tabs>
          <w:tab w:val="num" w:pos="720"/>
        </w:tabs>
        <w:ind w:left="720" w:hanging="360"/>
      </w:pPr>
      <w:rPr>
        <w:rFonts w:ascii="Symbol" w:hAnsi="Symbol" w:hint="default"/>
      </w:rPr>
    </w:lvl>
    <w:lvl w:ilvl="1" w:tplc="71347006">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0611938"/>
    <w:multiLevelType w:val="hybridMultilevel"/>
    <w:tmpl w:val="E1BC9F02"/>
    <w:lvl w:ilvl="0" w:tplc="2C66C2CC">
      <w:numFmt w:val="bullet"/>
      <w:lvlText w:val="-"/>
      <w:lvlJc w:val="left"/>
      <w:pPr>
        <w:tabs>
          <w:tab w:val="num" w:pos="720"/>
        </w:tabs>
        <w:ind w:left="720" w:hanging="360"/>
      </w:pPr>
      <w:rPr>
        <w:rFonts w:ascii="Times New Roman" w:eastAsia="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1E41974"/>
    <w:multiLevelType w:val="multilevel"/>
    <w:tmpl w:val="43D826F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45D71D72"/>
    <w:multiLevelType w:val="hybridMultilevel"/>
    <w:tmpl w:val="8ACA10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6EE6021"/>
    <w:multiLevelType w:val="hybridMultilevel"/>
    <w:tmpl w:val="28AE299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536398"/>
    <w:multiLevelType w:val="hybridMultilevel"/>
    <w:tmpl w:val="684C9186"/>
    <w:lvl w:ilvl="0" w:tplc="0410000F">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9615E95"/>
    <w:multiLevelType w:val="hybridMultilevel"/>
    <w:tmpl w:val="911EB25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15:restartNumberingAfterBreak="0">
    <w:nsid w:val="4D3C4F3F"/>
    <w:multiLevelType w:val="hybridMultilevel"/>
    <w:tmpl w:val="E1DA0B3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15:restartNumberingAfterBreak="0">
    <w:nsid w:val="4FC27F41"/>
    <w:multiLevelType w:val="hybridMultilevel"/>
    <w:tmpl w:val="454828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21E149C"/>
    <w:multiLevelType w:val="hybridMultilevel"/>
    <w:tmpl w:val="CAD87BE2"/>
    <w:lvl w:ilvl="0" w:tplc="010EC610">
      <w:start w:val="1"/>
      <w:numFmt w:val="decimal"/>
      <w:lvlText w:val="%1."/>
      <w:lvlJc w:val="left"/>
      <w:pPr>
        <w:tabs>
          <w:tab w:val="num" w:pos="720"/>
        </w:tabs>
        <w:ind w:left="720" w:hanging="360"/>
      </w:pPr>
      <w:rPr>
        <w:rFonts w:hint="default"/>
        <w:sz w:val="24"/>
      </w:rPr>
    </w:lvl>
    <w:lvl w:ilvl="1" w:tplc="F93404E6">
      <w:numFmt w:val="none"/>
      <w:lvlText w:val=""/>
      <w:lvlJc w:val="left"/>
      <w:pPr>
        <w:tabs>
          <w:tab w:val="num" w:pos="360"/>
        </w:tabs>
      </w:pPr>
    </w:lvl>
    <w:lvl w:ilvl="2" w:tplc="492208A6">
      <w:numFmt w:val="none"/>
      <w:lvlText w:val=""/>
      <w:lvlJc w:val="left"/>
      <w:pPr>
        <w:tabs>
          <w:tab w:val="num" w:pos="360"/>
        </w:tabs>
      </w:pPr>
    </w:lvl>
    <w:lvl w:ilvl="3" w:tplc="4832F850">
      <w:numFmt w:val="none"/>
      <w:lvlText w:val=""/>
      <w:lvlJc w:val="left"/>
      <w:pPr>
        <w:tabs>
          <w:tab w:val="num" w:pos="360"/>
        </w:tabs>
      </w:pPr>
    </w:lvl>
    <w:lvl w:ilvl="4" w:tplc="B1467308">
      <w:numFmt w:val="none"/>
      <w:lvlText w:val=""/>
      <w:lvlJc w:val="left"/>
      <w:pPr>
        <w:tabs>
          <w:tab w:val="num" w:pos="360"/>
        </w:tabs>
      </w:pPr>
    </w:lvl>
    <w:lvl w:ilvl="5" w:tplc="9BB4CB6A">
      <w:numFmt w:val="none"/>
      <w:lvlText w:val=""/>
      <w:lvlJc w:val="left"/>
      <w:pPr>
        <w:tabs>
          <w:tab w:val="num" w:pos="360"/>
        </w:tabs>
      </w:pPr>
    </w:lvl>
    <w:lvl w:ilvl="6" w:tplc="571C1DBA">
      <w:numFmt w:val="none"/>
      <w:lvlText w:val=""/>
      <w:lvlJc w:val="left"/>
      <w:pPr>
        <w:tabs>
          <w:tab w:val="num" w:pos="360"/>
        </w:tabs>
      </w:pPr>
    </w:lvl>
    <w:lvl w:ilvl="7" w:tplc="AA1CA7BA">
      <w:numFmt w:val="none"/>
      <w:lvlText w:val=""/>
      <w:lvlJc w:val="left"/>
      <w:pPr>
        <w:tabs>
          <w:tab w:val="num" w:pos="360"/>
        </w:tabs>
      </w:pPr>
    </w:lvl>
    <w:lvl w:ilvl="8" w:tplc="11E04172">
      <w:numFmt w:val="none"/>
      <w:lvlText w:val=""/>
      <w:lvlJc w:val="left"/>
      <w:pPr>
        <w:tabs>
          <w:tab w:val="num" w:pos="360"/>
        </w:tabs>
      </w:pPr>
    </w:lvl>
  </w:abstractNum>
  <w:abstractNum w:abstractNumId="35" w15:restartNumberingAfterBreak="0">
    <w:nsid w:val="5A053F81"/>
    <w:multiLevelType w:val="multilevel"/>
    <w:tmpl w:val="0380A6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E6107B4"/>
    <w:multiLevelType w:val="hybridMultilevel"/>
    <w:tmpl w:val="95DA2FA6"/>
    <w:lvl w:ilvl="0" w:tplc="C1A69668">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7" w15:restartNumberingAfterBreak="0">
    <w:nsid w:val="5F836214"/>
    <w:multiLevelType w:val="multilevel"/>
    <w:tmpl w:val="28AE29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BB7C9B"/>
    <w:multiLevelType w:val="hybridMultilevel"/>
    <w:tmpl w:val="5B66DB6C"/>
    <w:lvl w:ilvl="0" w:tplc="4C826724">
      <w:numFmt w:val="bullet"/>
      <w:lvlText w:val=""/>
      <w:lvlJc w:val="left"/>
      <w:pPr>
        <w:tabs>
          <w:tab w:val="num" w:pos="720"/>
        </w:tabs>
        <w:ind w:left="720" w:hanging="360"/>
      </w:pPr>
      <w:rPr>
        <w:rFonts w:ascii="Symbol" w:eastAsia="Batang" w:hAnsi="Symbo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3A5841"/>
    <w:multiLevelType w:val="hybridMultilevel"/>
    <w:tmpl w:val="867486D4"/>
    <w:lvl w:ilvl="0" w:tplc="0C6CE01E">
      <w:start w:val="3"/>
      <w:numFmt w:val="bullet"/>
      <w:lvlText w:val="-"/>
      <w:lvlJc w:val="left"/>
      <w:pPr>
        <w:tabs>
          <w:tab w:val="num" w:pos="720"/>
        </w:tabs>
        <w:ind w:left="720" w:hanging="360"/>
      </w:pPr>
      <w:rPr>
        <w:rFonts w:ascii="Times New Roman" w:eastAsia="Batang" w:hAnsi="Times New Roman" w:cs="Times New Roman" w:hint="default"/>
      </w:rPr>
    </w:lvl>
    <w:lvl w:ilvl="1" w:tplc="B2EA3FC4">
      <w:start w:val="2"/>
      <w:numFmt w:val="bullet"/>
      <w:lvlText w:val="-"/>
      <w:lvlJc w:val="left"/>
      <w:pPr>
        <w:tabs>
          <w:tab w:val="num" w:pos="1440"/>
        </w:tabs>
        <w:ind w:left="1440" w:hanging="360"/>
      </w:pPr>
      <w:rPr>
        <w:rFonts w:ascii="Times New Roman" w:eastAsia="Times New Roman" w:hAnsi="Times New Roman" w:cs="Times New Roman" w:hint="default"/>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BA783E"/>
    <w:multiLevelType w:val="hybridMultilevel"/>
    <w:tmpl w:val="22E6448A"/>
    <w:lvl w:ilvl="0" w:tplc="BEFE8A78">
      <w:start w:val="3"/>
      <w:numFmt w:val="decimal"/>
      <w:lvlText w:val="%1."/>
      <w:lvlJc w:val="left"/>
      <w:pPr>
        <w:tabs>
          <w:tab w:val="num" w:pos="720"/>
        </w:tabs>
        <w:ind w:left="720" w:hanging="360"/>
      </w:pPr>
      <w:rPr>
        <w:rFonts w:hint="default"/>
        <w:sz w:val="24"/>
      </w:rPr>
    </w:lvl>
    <w:lvl w:ilvl="1" w:tplc="9AE60368">
      <w:numFmt w:val="none"/>
      <w:lvlText w:val=""/>
      <w:lvlJc w:val="left"/>
      <w:pPr>
        <w:tabs>
          <w:tab w:val="num" w:pos="360"/>
        </w:tabs>
      </w:pPr>
    </w:lvl>
    <w:lvl w:ilvl="2" w:tplc="1E261C44">
      <w:numFmt w:val="none"/>
      <w:lvlText w:val=""/>
      <w:lvlJc w:val="left"/>
      <w:pPr>
        <w:tabs>
          <w:tab w:val="num" w:pos="360"/>
        </w:tabs>
      </w:pPr>
    </w:lvl>
    <w:lvl w:ilvl="3" w:tplc="ABB4BA9E">
      <w:numFmt w:val="none"/>
      <w:lvlText w:val=""/>
      <w:lvlJc w:val="left"/>
      <w:pPr>
        <w:tabs>
          <w:tab w:val="num" w:pos="360"/>
        </w:tabs>
      </w:pPr>
    </w:lvl>
    <w:lvl w:ilvl="4" w:tplc="F6A265A2">
      <w:numFmt w:val="none"/>
      <w:lvlText w:val=""/>
      <w:lvlJc w:val="left"/>
      <w:pPr>
        <w:tabs>
          <w:tab w:val="num" w:pos="360"/>
        </w:tabs>
      </w:pPr>
    </w:lvl>
    <w:lvl w:ilvl="5" w:tplc="5594A13E">
      <w:numFmt w:val="none"/>
      <w:lvlText w:val=""/>
      <w:lvlJc w:val="left"/>
      <w:pPr>
        <w:tabs>
          <w:tab w:val="num" w:pos="360"/>
        </w:tabs>
      </w:pPr>
    </w:lvl>
    <w:lvl w:ilvl="6" w:tplc="39F62570">
      <w:numFmt w:val="none"/>
      <w:lvlText w:val=""/>
      <w:lvlJc w:val="left"/>
      <w:pPr>
        <w:tabs>
          <w:tab w:val="num" w:pos="360"/>
        </w:tabs>
      </w:pPr>
    </w:lvl>
    <w:lvl w:ilvl="7" w:tplc="B590042A">
      <w:numFmt w:val="none"/>
      <w:lvlText w:val=""/>
      <w:lvlJc w:val="left"/>
      <w:pPr>
        <w:tabs>
          <w:tab w:val="num" w:pos="360"/>
        </w:tabs>
      </w:pPr>
    </w:lvl>
    <w:lvl w:ilvl="8" w:tplc="F7D65EC8">
      <w:numFmt w:val="none"/>
      <w:lvlText w:val=""/>
      <w:lvlJc w:val="left"/>
      <w:pPr>
        <w:tabs>
          <w:tab w:val="num" w:pos="360"/>
        </w:tabs>
      </w:pPr>
    </w:lvl>
  </w:abstractNum>
  <w:abstractNum w:abstractNumId="41" w15:restartNumberingAfterBreak="0">
    <w:nsid w:val="6C2B6D69"/>
    <w:multiLevelType w:val="hybridMultilevel"/>
    <w:tmpl w:val="2E8AA9E4"/>
    <w:lvl w:ilvl="0" w:tplc="149E43D2">
      <w:start w:val="2"/>
      <w:numFmt w:val="bullet"/>
      <w:lvlText w:val="-"/>
      <w:lvlJc w:val="left"/>
      <w:pPr>
        <w:ind w:left="720" w:hanging="360"/>
      </w:pPr>
      <w:rPr>
        <w:rFonts w:ascii="Arial" w:eastAsia="Batang"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F49105B"/>
    <w:multiLevelType w:val="multilevel"/>
    <w:tmpl w:val="32A2C77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70B1009B"/>
    <w:multiLevelType w:val="hybridMultilevel"/>
    <w:tmpl w:val="88EA0D74"/>
    <w:lvl w:ilvl="0" w:tplc="B2AAC080">
      <w:start w:val="3"/>
      <w:numFmt w:val="bullet"/>
      <w:lvlText w:val="-"/>
      <w:lvlJc w:val="left"/>
      <w:pPr>
        <w:tabs>
          <w:tab w:val="num" w:pos="720"/>
        </w:tabs>
        <w:ind w:left="720" w:hanging="360"/>
      </w:pPr>
      <w:rPr>
        <w:rFonts w:ascii="Arial" w:eastAsia="Batang"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A271B5"/>
    <w:multiLevelType w:val="hybridMultilevel"/>
    <w:tmpl w:val="09CE6E2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DA76E2"/>
    <w:multiLevelType w:val="hybridMultilevel"/>
    <w:tmpl w:val="A9CC6FFA"/>
    <w:lvl w:ilvl="0" w:tplc="8AC63B76">
      <w:start w:val="6"/>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E0A0D54"/>
    <w:multiLevelType w:val="multilevel"/>
    <w:tmpl w:val="030AE42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7E292FB5"/>
    <w:multiLevelType w:val="hybridMultilevel"/>
    <w:tmpl w:val="3D4AA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F397602"/>
    <w:multiLevelType w:val="multilevel"/>
    <w:tmpl w:val="F758819E"/>
    <w:lvl w:ilvl="0">
      <w:start w:val="4"/>
      <w:numFmt w:val="decimal"/>
      <w:lvlText w:val="%1"/>
      <w:lvlJc w:val="left"/>
      <w:pPr>
        <w:tabs>
          <w:tab w:val="num" w:pos="360"/>
        </w:tabs>
        <w:ind w:left="360" w:hanging="360"/>
      </w:pPr>
      <w:rPr>
        <w:rFonts w:hint="default"/>
        <w:sz w:val="20"/>
        <w:u w:val="single"/>
      </w:rPr>
    </w:lvl>
    <w:lvl w:ilvl="1">
      <w:start w:val="2"/>
      <w:numFmt w:val="decimal"/>
      <w:lvlText w:val="%1.%2"/>
      <w:lvlJc w:val="left"/>
      <w:pPr>
        <w:tabs>
          <w:tab w:val="num" w:pos="720"/>
        </w:tabs>
        <w:ind w:left="720" w:hanging="360"/>
      </w:pPr>
      <w:rPr>
        <w:rFonts w:hint="default"/>
        <w:sz w:val="20"/>
        <w:u w:val="single"/>
      </w:rPr>
    </w:lvl>
    <w:lvl w:ilvl="2">
      <w:start w:val="1"/>
      <w:numFmt w:val="decimal"/>
      <w:lvlText w:val="%1.%2.%3"/>
      <w:lvlJc w:val="left"/>
      <w:pPr>
        <w:tabs>
          <w:tab w:val="num" w:pos="1440"/>
        </w:tabs>
        <w:ind w:left="1440" w:hanging="720"/>
      </w:pPr>
      <w:rPr>
        <w:rFonts w:hint="default"/>
        <w:sz w:val="20"/>
        <w:u w:val="single"/>
      </w:rPr>
    </w:lvl>
    <w:lvl w:ilvl="3">
      <w:start w:val="1"/>
      <w:numFmt w:val="decimal"/>
      <w:lvlText w:val="%1.%2.%3.%4"/>
      <w:lvlJc w:val="left"/>
      <w:pPr>
        <w:tabs>
          <w:tab w:val="num" w:pos="2160"/>
        </w:tabs>
        <w:ind w:left="2160" w:hanging="1080"/>
      </w:pPr>
      <w:rPr>
        <w:rFonts w:hint="default"/>
        <w:sz w:val="20"/>
        <w:u w:val="single"/>
      </w:rPr>
    </w:lvl>
    <w:lvl w:ilvl="4">
      <w:start w:val="1"/>
      <w:numFmt w:val="decimal"/>
      <w:lvlText w:val="%1.%2.%3.%4.%5"/>
      <w:lvlJc w:val="left"/>
      <w:pPr>
        <w:tabs>
          <w:tab w:val="num" w:pos="2520"/>
        </w:tabs>
        <w:ind w:left="2520" w:hanging="1080"/>
      </w:pPr>
      <w:rPr>
        <w:rFonts w:hint="default"/>
        <w:sz w:val="20"/>
        <w:u w:val="single"/>
      </w:rPr>
    </w:lvl>
    <w:lvl w:ilvl="5">
      <w:start w:val="1"/>
      <w:numFmt w:val="decimal"/>
      <w:lvlText w:val="%1.%2.%3.%4.%5.%6"/>
      <w:lvlJc w:val="left"/>
      <w:pPr>
        <w:tabs>
          <w:tab w:val="num" w:pos="3240"/>
        </w:tabs>
        <w:ind w:left="3240" w:hanging="1440"/>
      </w:pPr>
      <w:rPr>
        <w:rFonts w:hint="default"/>
        <w:sz w:val="20"/>
        <w:u w:val="single"/>
      </w:rPr>
    </w:lvl>
    <w:lvl w:ilvl="6">
      <w:start w:val="1"/>
      <w:numFmt w:val="decimal"/>
      <w:lvlText w:val="%1.%2.%3.%4.%5.%6.%7"/>
      <w:lvlJc w:val="left"/>
      <w:pPr>
        <w:tabs>
          <w:tab w:val="num" w:pos="3600"/>
        </w:tabs>
        <w:ind w:left="3600" w:hanging="1440"/>
      </w:pPr>
      <w:rPr>
        <w:rFonts w:hint="default"/>
        <w:sz w:val="20"/>
        <w:u w:val="single"/>
      </w:rPr>
    </w:lvl>
    <w:lvl w:ilvl="7">
      <w:start w:val="1"/>
      <w:numFmt w:val="decimal"/>
      <w:lvlText w:val="%1.%2.%3.%4.%5.%6.%7.%8"/>
      <w:lvlJc w:val="left"/>
      <w:pPr>
        <w:tabs>
          <w:tab w:val="num" w:pos="4320"/>
        </w:tabs>
        <w:ind w:left="4320" w:hanging="1800"/>
      </w:pPr>
      <w:rPr>
        <w:rFonts w:hint="default"/>
        <w:sz w:val="20"/>
        <w:u w:val="single"/>
      </w:rPr>
    </w:lvl>
    <w:lvl w:ilvl="8">
      <w:start w:val="1"/>
      <w:numFmt w:val="decimal"/>
      <w:lvlText w:val="%1.%2.%3.%4.%5.%6.%7.%8.%9"/>
      <w:lvlJc w:val="left"/>
      <w:pPr>
        <w:tabs>
          <w:tab w:val="num" w:pos="4680"/>
        </w:tabs>
        <w:ind w:left="4680" w:hanging="1800"/>
      </w:pPr>
      <w:rPr>
        <w:rFonts w:hint="default"/>
        <w:sz w:val="20"/>
        <w:u w:val="single"/>
      </w:rPr>
    </w:lvl>
  </w:abstractNum>
  <w:num w:numId="1">
    <w:abstractNumId w:val="14"/>
  </w:num>
  <w:num w:numId="2">
    <w:abstractNumId w:val="35"/>
  </w:num>
  <w:num w:numId="3">
    <w:abstractNumId w:val="28"/>
  </w:num>
  <w:num w:numId="4">
    <w:abstractNumId w:val="39"/>
  </w:num>
  <w:num w:numId="5">
    <w:abstractNumId w:val="8"/>
  </w:num>
  <w:num w:numId="6">
    <w:abstractNumId w:val="34"/>
  </w:num>
  <w:num w:numId="7">
    <w:abstractNumId w:val="9"/>
  </w:num>
  <w:num w:numId="8">
    <w:abstractNumId w:val="26"/>
  </w:num>
  <w:num w:numId="9">
    <w:abstractNumId w:val="25"/>
  </w:num>
  <w:num w:numId="10">
    <w:abstractNumId w:val="13"/>
  </w:num>
  <w:num w:numId="11">
    <w:abstractNumId w:val="48"/>
  </w:num>
  <w:num w:numId="12">
    <w:abstractNumId w:val="29"/>
  </w:num>
  <w:num w:numId="13">
    <w:abstractNumId w:val="18"/>
  </w:num>
  <w:num w:numId="14">
    <w:abstractNumId w:val="1"/>
  </w:num>
  <w:num w:numId="15">
    <w:abstractNumId w:val="37"/>
  </w:num>
  <w:num w:numId="16">
    <w:abstractNumId w:val="20"/>
  </w:num>
  <w:num w:numId="17">
    <w:abstractNumId w:val="6"/>
  </w:num>
  <w:num w:numId="18">
    <w:abstractNumId w:val="44"/>
  </w:num>
  <w:num w:numId="19">
    <w:abstractNumId w:val="0"/>
  </w:num>
  <w:num w:numId="20">
    <w:abstractNumId w:val="21"/>
  </w:num>
  <w:num w:numId="21">
    <w:abstractNumId w:val="30"/>
  </w:num>
  <w:num w:numId="22">
    <w:abstractNumId w:val="23"/>
  </w:num>
  <w:num w:numId="23">
    <w:abstractNumId w:val="38"/>
  </w:num>
  <w:num w:numId="24">
    <w:abstractNumId w:val="43"/>
  </w:num>
  <w:num w:numId="25">
    <w:abstractNumId w:val="46"/>
  </w:num>
  <w:num w:numId="26">
    <w:abstractNumId w:val="4"/>
  </w:num>
  <w:num w:numId="27">
    <w:abstractNumId w:val="2"/>
  </w:num>
  <w:num w:numId="28">
    <w:abstractNumId w:val="7"/>
  </w:num>
  <w:num w:numId="29">
    <w:abstractNumId w:val="10"/>
  </w:num>
  <w:num w:numId="30">
    <w:abstractNumId w:val="24"/>
  </w:num>
  <w:num w:numId="31">
    <w:abstractNumId w:val="40"/>
  </w:num>
  <w:num w:numId="32">
    <w:abstractNumId w:val="17"/>
  </w:num>
  <w:num w:numId="33">
    <w:abstractNumId w:val="3"/>
  </w:num>
  <w:num w:numId="34">
    <w:abstractNumId w:val="27"/>
  </w:num>
  <w:num w:numId="35">
    <w:abstractNumId w:val="42"/>
  </w:num>
  <w:num w:numId="36">
    <w:abstractNumId w:val="45"/>
  </w:num>
  <w:num w:numId="37">
    <w:abstractNumId w:val="41"/>
  </w:num>
  <w:num w:numId="38">
    <w:abstractNumId w:val="11"/>
  </w:num>
  <w:num w:numId="39">
    <w:abstractNumId w:val="22"/>
  </w:num>
  <w:num w:numId="40">
    <w:abstractNumId w:val="33"/>
  </w:num>
  <w:num w:numId="41">
    <w:abstractNumId w:val="19"/>
  </w:num>
  <w:num w:numId="42">
    <w:abstractNumId w:val="47"/>
  </w:num>
  <w:num w:numId="43">
    <w:abstractNumId w:val="16"/>
  </w:num>
  <w:num w:numId="44">
    <w:abstractNumId w:val="31"/>
  </w:num>
  <w:num w:numId="45">
    <w:abstractNumId w:val="36"/>
  </w:num>
  <w:num w:numId="46">
    <w:abstractNumId w:val="32"/>
  </w:num>
  <w:num w:numId="47">
    <w:abstractNumId w:val="15"/>
  </w:num>
  <w:num w:numId="48">
    <w:abstractNumId w:val="5"/>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7E"/>
    <w:rsid w:val="0000055B"/>
    <w:rsid w:val="00001937"/>
    <w:rsid w:val="00003CA3"/>
    <w:rsid w:val="00004BE2"/>
    <w:rsid w:val="00004E43"/>
    <w:rsid w:val="00007AF2"/>
    <w:rsid w:val="0001239F"/>
    <w:rsid w:val="00013F3D"/>
    <w:rsid w:val="00020653"/>
    <w:rsid w:val="00021115"/>
    <w:rsid w:val="000227AA"/>
    <w:rsid w:val="00031A0F"/>
    <w:rsid w:val="00033D5C"/>
    <w:rsid w:val="000353EF"/>
    <w:rsid w:val="00043506"/>
    <w:rsid w:val="00043DF1"/>
    <w:rsid w:val="00043F3D"/>
    <w:rsid w:val="000459D0"/>
    <w:rsid w:val="00045A9E"/>
    <w:rsid w:val="00045D2A"/>
    <w:rsid w:val="0004641F"/>
    <w:rsid w:val="0004787F"/>
    <w:rsid w:val="00052559"/>
    <w:rsid w:val="0005308B"/>
    <w:rsid w:val="00055486"/>
    <w:rsid w:val="000579A8"/>
    <w:rsid w:val="0006254B"/>
    <w:rsid w:val="00062728"/>
    <w:rsid w:val="00064FBC"/>
    <w:rsid w:val="0006706F"/>
    <w:rsid w:val="00067112"/>
    <w:rsid w:val="00067144"/>
    <w:rsid w:val="000702BD"/>
    <w:rsid w:val="00075BD2"/>
    <w:rsid w:val="00076881"/>
    <w:rsid w:val="0008122B"/>
    <w:rsid w:val="000829DE"/>
    <w:rsid w:val="00082E64"/>
    <w:rsid w:val="00083185"/>
    <w:rsid w:val="000854F3"/>
    <w:rsid w:val="000A2E15"/>
    <w:rsid w:val="000A532F"/>
    <w:rsid w:val="000A58B7"/>
    <w:rsid w:val="000A6DDF"/>
    <w:rsid w:val="000A7660"/>
    <w:rsid w:val="000B3216"/>
    <w:rsid w:val="000B377F"/>
    <w:rsid w:val="000B3D07"/>
    <w:rsid w:val="000B75E9"/>
    <w:rsid w:val="000C093D"/>
    <w:rsid w:val="000C1A03"/>
    <w:rsid w:val="000C2ABC"/>
    <w:rsid w:val="000C3574"/>
    <w:rsid w:val="000D0AF3"/>
    <w:rsid w:val="000D1858"/>
    <w:rsid w:val="000D1F54"/>
    <w:rsid w:val="000D4A58"/>
    <w:rsid w:val="000D6AA1"/>
    <w:rsid w:val="000D6D9C"/>
    <w:rsid w:val="000D7834"/>
    <w:rsid w:val="000D7E48"/>
    <w:rsid w:val="000E11AF"/>
    <w:rsid w:val="000E149F"/>
    <w:rsid w:val="000E6C8C"/>
    <w:rsid w:val="000E6D01"/>
    <w:rsid w:val="000E7118"/>
    <w:rsid w:val="000E73F4"/>
    <w:rsid w:val="000F074C"/>
    <w:rsid w:val="000F08C4"/>
    <w:rsid w:val="000F0A27"/>
    <w:rsid w:val="000F337E"/>
    <w:rsid w:val="00100915"/>
    <w:rsid w:val="001023DA"/>
    <w:rsid w:val="00106C93"/>
    <w:rsid w:val="00110323"/>
    <w:rsid w:val="00112626"/>
    <w:rsid w:val="00113B09"/>
    <w:rsid w:val="00117457"/>
    <w:rsid w:val="00120D07"/>
    <w:rsid w:val="00131CB4"/>
    <w:rsid w:val="00136631"/>
    <w:rsid w:val="00136E37"/>
    <w:rsid w:val="0014073B"/>
    <w:rsid w:val="001413E6"/>
    <w:rsid w:val="00141C56"/>
    <w:rsid w:val="00141E1F"/>
    <w:rsid w:val="001438D7"/>
    <w:rsid w:val="00150088"/>
    <w:rsid w:val="001516A7"/>
    <w:rsid w:val="00152818"/>
    <w:rsid w:val="00154B16"/>
    <w:rsid w:val="00154D10"/>
    <w:rsid w:val="0015633F"/>
    <w:rsid w:val="00156454"/>
    <w:rsid w:val="00157C42"/>
    <w:rsid w:val="00162C3E"/>
    <w:rsid w:val="0016438C"/>
    <w:rsid w:val="00164C2E"/>
    <w:rsid w:val="00166D29"/>
    <w:rsid w:val="00171E7B"/>
    <w:rsid w:val="001762C0"/>
    <w:rsid w:val="00176927"/>
    <w:rsid w:val="001774BC"/>
    <w:rsid w:val="00182F9B"/>
    <w:rsid w:val="00183DBB"/>
    <w:rsid w:val="00184832"/>
    <w:rsid w:val="00185532"/>
    <w:rsid w:val="00191F9E"/>
    <w:rsid w:val="00192762"/>
    <w:rsid w:val="00195308"/>
    <w:rsid w:val="00195CE0"/>
    <w:rsid w:val="001A0277"/>
    <w:rsid w:val="001A0798"/>
    <w:rsid w:val="001A2746"/>
    <w:rsid w:val="001A6FA1"/>
    <w:rsid w:val="001B20A9"/>
    <w:rsid w:val="001B2679"/>
    <w:rsid w:val="001B77EA"/>
    <w:rsid w:val="001C296C"/>
    <w:rsid w:val="001C3B27"/>
    <w:rsid w:val="001C6343"/>
    <w:rsid w:val="001D264E"/>
    <w:rsid w:val="001D2FA6"/>
    <w:rsid w:val="001D49DB"/>
    <w:rsid w:val="001D77E5"/>
    <w:rsid w:val="001E0E91"/>
    <w:rsid w:val="001E3C94"/>
    <w:rsid w:val="001E4AD6"/>
    <w:rsid w:val="001E602B"/>
    <w:rsid w:val="001E7AF2"/>
    <w:rsid w:val="001F29FE"/>
    <w:rsid w:val="001F67FA"/>
    <w:rsid w:val="001F73C5"/>
    <w:rsid w:val="00200AD0"/>
    <w:rsid w:val="00205CE2"/>
    <w:rsid w:val="00207E11"/>
    <w:rsid w:val="00210355"/>
    <w:rsid w:val="00214E1D"/>
    <w:rsid w:val="00217862"/>
    <w:rsid w:val="002207EB"/>
    <w:rsid w:val="0022099F"/>
    <w:rsid w:val="00221A8D"/>
    <w:rsid w:val="00221AF8"/>
    <w:rsid w:val="00222E3C"/>
    <w:rsid w:val="00223872"/>
    <w:rsid w:val="00223B2A"/>
    <w:rsid w:val="0023181A"/>
    <w:rsid w:val="00231BFB"/>
    <w:rsid w:val="00236B72"/>
    <w:rsid w:val="00241A7E"/>
    <w:rsid w:val="0024603A"/>
    <w:rsid w:val="00251BD6"/>
    <w:rsid w:val="00252C09"/>
    <w:rsid w:val="002559F2"/>
    <w:rsid w:val="00256F07"/>
    <w:rsid w:val="00256F81"/>
    <w:rsid w:val="0026213D"/>
    <w:rsid w:val="0026558D"/>
    <w:rsid w:val="00267E88"/>
    <w:rsid w:val="00270EC2"/>
    <w:rsid w:val="00271142"/>
    <w:rsid w:val="00274419"/>
    <w:rsid w:val="002811E7"/>
    <w:rsid w:val="00282CE5"/>
    <w:rsid w:val="00283259"/>
    <w:rsid w:val="00290A68"/>
    <w:rsid w:val="00295CE9"/>
    <w:rsid w:val="0029600A"/>
    <w:rsid w:val="002A0320"/>
    <w:rsid w:val="002A2D22"/>
    <w:rsid w:val="002A4696"/>
    <w:rsid w:val="002A55E1"/>
    <w:rsid w:val="002A725E"/>
    <w:rsid w:val="002B24A9"/>
    <w:rsid w:val="002C1149"/>
    <w:rsid w:val="002C4D5C"/>
    <w:rsid w:val="002C5C57"/>
    <w:rsid w:val="002D035B"/>
    <w:rsid w:val="002D0CC2"/>
    <w:rsid w:val="002D20F0"/>
    <w:rsid w:val="002D2180"/>
    <w:rsid w:val="002D30CE"/>
    <w:rsid w:val="002E1C92"/>
    <w:rsid w:val="002E2C8E"/>
    <w:rsid w:val="002E4306"/>
    <w:rsid w:val="002E76AC"/>
    <w:rsid w:val="002E7D7A"/>
    <w:rsid w:val="002E7F43"/>
    <w:rsid w:val="002F142B"/>
    <w:rsid w:val="002F15E4"/>
    <w:rsid w:val="002F2DCE"/>
    <w:rsid w:val="002F4730"/>
    <w:rsid w:val="003027A7"/>
    <w:rsid w:val="00305C6D"/>
    <w:rsid w:val="00307D4B"/>
    <w:rsid w:val="003120E7"/>
    <w:rsid w:val="00312A51"/>
    <w:rsid w:val="00316E4D"/>
    <w:rsid w:val="003212B7"/>
    <w:rsid w:val="003325AB"/>
    <w:rsid w:val="00334FB1"/>
    <w:rsid w:val="003358A3"/>
    <w:rsid w:val="00336762"/>
    <w:rsid w:val="00340C68"/>
    <w:rsid w:val="00343B8B"/>
    <w:rsid w:val="00344922"/>
    <w:rsid w:val="003469C7"/>
    <w:rsid w:val="003472D4"/>
    <w:rsid w:val="00350919"/>
    <w:rsid w:val="00353404"/>
    <w:rsid w:val="00354376"/>
    <w:rsid w:val="00357F04"/>
    <w:rsid w:val="00366388"/>
    <w:rsid w:val="00367166"/>
    <w:rsid w:val="0037647F"/>
    <w:rsid w:val="003769C2"/>
    <w:rsid w:val="00376F97"/>
    <w:rsid w:val="00382EFD"/>
    <w:rsid w:val="0038770F"/>
    <w:rsid w:val="0039273A"/>
    <w:rsid w:val="00392BED"/>
    <w:rsid w:val="00392F5B"/>
    <w:rsid w:val="00393A90"/>
    <w:rsid w:val="0039519D"/>
    <w:rsid w:val="003A4308"/>
    <w:rsid w:val="003B18DF"/>
    <w:rsid w:val="003B3336"/>
    <w:rsid w:val="003B39EE"/>
    <w:rsid w:val="003C04B1"/>
    <w:rsid w:val="003C1FC0"/>
    <w:rsid w:val="003C31D2"/>
    <w:rsid w:val="003C5C9A"/>
    <w:rsid w:val="003C6200"/>
    <w:rsid w:val="003C6511"/>
    <w:rsid w:val="003C6F73"/>
    <w:rsid w:val="003D5CB6"/>
    <w:rsid w:val="003E5FFE"/>
    <w:rsid w:val="003E6C6E"/>
    <w:rsid w:val="003F0234"/>
    <w:rsid w:val="003F2CBB"/>
    <w:rsid w:val="003F4514"/>
    <w:rsid w:val="003F753B"/>
    <w:rsid w:val="0040397F"/>
    <w:rsid w:val="004102C0"/>
    <w:rsid w:val="00415259"/>
    <w:rsid w:val="004156AF"/>
    <w:rsid w:val="004168A6"/>
    <w:rsid w:val="00417479"/>
    <w:rsid w:val="004179EF"/>
    <w:rsid w:val="00420A8C"/>
    <w:rsid w:val="0042152E"/>
    <w:rsid w:val="00422CF3"/>
    <w:rsid w:val="00430B63"/>
    <w:rsid w:val="0043190E"/>
    <w:rsid w:val="0043504A"/>
    <w:rsid w:val="00440CF4"/>
    <w:rsid w:val="004414BE"/>
    <w:rsid w:val="004465AC"/>
    <w:rsid w:val="00450874"/>
    <w:rsid w:val="00451314"/>
    <w:rsid w:val="0045352E"/>
    <w:rsid w:val="004573BD"/>
    <w:rsid w:val="00461E0B"/>
    <w:rsid w:val="004718F7"/>
    <w:rsid w:val="00475599"/>
    <w:rsid w:val="00482BB9"/>
    <w:rsid w:val="004837BC"/>
    <w:rsid w:val="00493F69"/>
    <w:rsid w:val="004977D4"/>
    <w:rsid w:val="00497A0F"/>
    <w:rsid w:val="00497B82"/>
    <w:rsid w:val="00497EDB"/>
    <w:rsid w:val="004A230F"/>
    <w:rsid w:val="004A7F82"/>
    <w:rsid w:val="004B2EB3"/>
    <w:rsid w:val="004B5653"/>
    <w:rsid w:val="004B5DCB"/>
    <w:rsid w:val="004B78CD"/>
    <w:rsid w:val="004C1664"/>
    <w:rsid w:val="004C38D7"/>
    <w:rsid w:val="004C5CB4"/>
    <w:rsid w:val="004D0B58"/>
    <w:rsid w:val="004E0A68"/>
    <w:rsid w:val="004E0A99"/>
    <w:rsid w:val="004E7062"/>
    <w:rsid w:val="004F0B01"/>
    <w:rsid w:val="004F1D23"/>
    <w:rsid w:val="004F333F"/>
    <w:rsid w:val="004F53C7"/>
    <w:rsid w:val="004F63C6"/>
    <w:rsid w:val="00501037"/>
    <w:rsid w:val="0050196F"/>
    <w:rsid w:val="00502D85"/>
    <w:rsid w:val="0050509E"/>
    <w:rsid w:val="00514ECE"/>
    <w:rsid w:val="00523F9E"/>
    <w:rsid w:val="00531ECC"/>
    <w:rsid w:val="00535D46"/>
    <w:rsid w:val="005422A9"/>
    <w:rsid w:val="00544796"/>
    <w:rsid w:val="00550A2A"/>
    <w:rsid w:val="00551800"/>
    <w:rsid w:val="005521AF"/>
    <w:rsid w:val="00557767"/>
    <w:rsid w:val="00557C3A"/>
    <w:rsid w:val="00561B6A"/>
    <w:rsid w:val="0056228A"/>
    <w:rsid w:val="0056297F"/>
    <w:rsid w:val="0056604F"/>
    <w:rsid w:val="00566BC9"/>
    <w:rsid w:val="005763D2"/>
    <w:rsid w:val="0058193C"/>
    <w:rsid w:val="00581B19"/>
    <w:rsid w:val="0058334E"/>
    <w:rsid w:val="0058501A"/>
    <w:rsid w:val="00586990"/>
    <w:rsid w:val="005937A7"/>
    <w:rsid w:val="005A0AB4"/>
    <w:rsid w:val="005A253D"/>
    <w:rsid w:val="005A2795"/>
    <w:rsid w:val="005A712A"/>
    <w:rsid w:val="005B37B1"/>
    <w:rsid w:val="005B4CE1"/>
    <w:rsid w:val="005B623D"/>
    <w:rsid w:val="005C1401"/>
    <w:rsid w:val="005C2FFD"/>
    <w:rsid w:val="005C340E"/>
    <w:rsid w:val="005C7F48"/>
    <w:rsid w:val="005D0674"/>
    <w:rsid w:val="005D0DA7"/>
    <w:rsid w:val="005D2541"/>
    <w:rsid w:val="005D25D2"/>
    <w:rsid w:val="005D769D"/>
    <w:rsid w:val="005D78C2"/>
    <w:rsid w:val="005E3CD8"/>
    <w:rsid w:val="005E3FDE"/>
    <w:rsid w:val="005E416B"/>
    <w:rsid w:val="005E6D1B"/>
    <w:rsid w:val="005F1CE9"/>
    <w:rsid w:val="005F2B70"/>
    <w:rsid w:val="005F3474"/>
    <w:rsid w:val="005F4D73"/>
    <w:rsid w:val="0060135E"/>
    <w:rsid w:val="00601C9B"/>
    <w:rsid w:val="006028D6"/>
    <w:rsid w:val="00603A1D"/>
    <w:rsid w:val="00604141"/>
    <w:rsid w:val="006046E5"/>
    <w:rsid w:val="00605084"/>
    <w:rsid w:val="00606562"/>
    <w:rsid w:val="00607D5E"/>
    <w:rsid w:val="00616F7E"/>
    <w:rsid w:val="006223B3"/>
    <w:rsid w:val="0062275C"/>
    <w:rsid w:val="00626B69"/>
    <w:rsid w:val="00631E5A"/>
    <w:rsid w:val="0063288A"/>
    <w:rsid w:val="00633368"/>
    <w:rsid w:val="00635EE4"/>
    <w:rsid w:val="00637716"/>
    <w:rsid w:val="006407C5"/>
    <w:rsid w:val="00640C59"/>
    <w:rsid w:val="006432D4"/>
    <w:rsid w:val="00643718"/>
    <w:rsid w:val="006450F3"/>
    <w:rsid w:val="00647525"/>
    <w:rsid w:val="00647D29"/>
    <w:rsid w:val="006501CD"/>
    <w:rsid w:val="00650FAD"/>
    <w:rsid w:val="006547DD"/>
    <w:rsid w:val="00655892"/>
    <w:rsid w:val="00656EEB"/>
    <w:rsid w:val="0066692C"/>
    <w:rsid w:val="0067212C"/>
    <w:rsid w:val="00673B3C"/>
    <w:rsid w:val="0068369B"/>
    <w:rsid w:val="00684393"/>
    <w:rsid w:val="006847F1"/>
    <w:rsid w:val="00684F82"/>
    <w:rsid w:val="00685D5E"/>
    <w:rsid w:val="00687624"/>
    <w:rsid w:val="0069285C"/>
    <w:rsid w:val="00696920"/>
    <w:rsid w:val="006A2174"/>
    <w:rsid w:val="006A6AAA"/>
    <w:rsid w:val="006B186B"/>
    <w:rsid w:val="006B1CD2"/>
    <w:rsid w:val="006B26C9"/>
    <w:rsid w:val="006B6AF6"/>
    <w:rsid w:val="006B7A4C"/>
    <w:rsid w:val="006C06BE"/>
    <w:rsid w:val="006C1E85"/>
    <w:rsid w:val="006C28EA"/>
    <w:rsid w:val="006C4CFA"/>
    <w:rsid w:val="006C52A2"/>
    <w:rsid w:val="006C5F39"/>
    <w:rsid w:val="006D42C8"/>
    <w:rsid w:val="006D63F3"/>
    <w:rsid w:val="006D721B"/>
    <w:rsid w:val="006D7A59"/>
    <w:rsid w:val="006E237B"/>
    <w:rsid w:val="006E2EB0"/>
    <w:rsid w:val="006E2FBE"/>
    <w:rsid w:val="006E4FDF"/>
    <w:rsid w:val="006F052D"/>
    <w:rsid w:val="006F0BC2"/>
    <w:rsid w:val="006F3370"/>
    <w:rsid w:val="006F3B55"/>
    <w:rsid w:val="006F5FC5"/>
    <w:rsid w:val="006F68F4"/>
    <w:rsid w:val="007009AF"/>
    <w:rsid w:val="00701018"/>
    <w:rsid w:val="00701D92"/>
    <w:rsid w:val="00701F44"/>
    <w:rsid w:val="00702CAF"/>
    <w:rsid w:val="00705B3E"/>
    <w:rsid w:val="007063D1"/>
    <w:rsid w:val="0070781B"/>
    <w:rsid w:val="007078F4"/>
    <w:rsid w:val="00713BEF"/>
    <w:rsid w:val="00714E23"/>
    <w:rsid w:val="007213D3"/>
    <w:rsid w:val="0072198D"/>
    <w:rsid w:val="00721B13"/>
    <w:rsid w:val="00722A29"/>
    <w:rsid w:val="00722B03"/>
    <w:rsid w:val="00723E54"/>
    <w:rsid w:val="00726478"/>
    <w:rsid w:val="007307CA"/>
    <w:rsid w:val="0073199B"/>
    <w:rsid w:val="00734699"/>
    <w:rsid w:val="00734B8B"/>
    <w:rsid w:val="00736647"/>
    <w:rsid w:val="0074024C"/>
    <w:rsid w:val="00740D5D"/>
    <w:rsid w:val="00740EA7"/>
    <w:rsid w:val="00742956"/>
    <w:rsid w:val="00743132"/>
    <w:rsid w:val="00743D37"/>
    <w:rsid w:val="00745253"/>
    <w:rsid w:val="00746D8E"/>
    <w:rsid w:val="0074745A"/>
    <w:rsid w:val="00752DFA"/>
    <w:rsid w:val="00753A6B"/>
    <w:rsid w:val="00755CCF"/>
    <w:rsid w:val="00756754"/>
    <w:rsid w:val="00757674"/>
    <w:rsid w:val="00760785"/>
    <w:rsid w:val="007634FE"/>
    <w:rsid w:val="00765596"/>
    <w:rsid w:val="007669DD"/>
    <w:rsid w:val="00771198"/>
    <w:rsid w:val="00771F8E"/>
    <w:rsid w:val="0077323D"/>
    <w:rsid w:val="00774627"/>
    <w:rsid w:val="007746A7"/>
    <w:rsid w:val="007746DF"/>
    <w:rsid w:val="00775A64"/>
    <w:rsid w:val="00776BCE"/>
    <w:rsid w:val="00777CDD"/>
    <w:rsid w:val="007817FA"/>
    <w:rsid w:val="007936EA"/>
    <w:rsid w:val="007959B8"/>
    <w:rsid w:val="00795D95"/>
    <w:rsid w:val="007A1D2E"/>
    <w:rsid w:val="007A2E43"/>
    <w:rsid w:val="007A475B"/>
    <w:rsid w:val="007A5233"/>
    <w:rsid w:val="007A634F"/>
    <w:rsid w:val="007A6B3D"/>
    <w:rsid w:val="007B3EFF"/>
    <w:rsid w:val="007B4E69"/>
    <w:rsid w:val="007B6EF8"/>
    <w:rsid w:val="007C16AC"/>
    <w:rsid w:val="007D5BB2"/>
    <w:rsid w:val="007E0BBF"/>
    <w:rsid w:val="007E43A8"/>
    <w:rsid w:val="007E47AC"/>
    <w:rsid w:val="007E4AE2"/>
    <w:rsid w:val="007E768F"/>
    <w:rsid w:val="007F1403"/>
    <w:rsid w:val="007F2FD9"/>
    <w:rsid w:val="007F5948"/>
    <w:rsid w:val="007F6FE4"/>
    <w:rsid w:val="00813F1E"/>
    <w:rsid w:val="008162A5"/>
    <w:rsid w:val="0082214B"/>
    <w:rsid w:val="00823A5B"/>
    <w:rsid w:val="0083291D"/>
    <w:rsid w:val="00833FCB"/>
    <w:rsid w:val="0084595F"/>
    <w:rsid w:val="00847C4D"/>
    <w:rsid w:val="00852E29"/>
    <w:rsid w:val="0085303E"/>
    <w:rsid w:val="0085317B"/>
    <w:rsid w:val="00853792"/>
    <w:rsid w:val="00856913"/>
    <w:rsid w:val="00857CB2"/>
    <w:rsid w:val="00860241"/>
    <w:rsid w:val="008631B5"/>
    <w:rsid w:val="00864B09"/>
    <w:rsid w:val="00865463"/>
    <w:rsid w:val="00865BF4"/>
    <w:rsid w:val="008710FE"/>
    <w:rsid w:val="00871C75"/>
    <w:rsid w:val="008724EC"/>
    <w:rsid w:val="00873C7D"/>
    <w:rsid w:val="00874EAE"/>
    <w:rsid w:val="0087575D"/>
    <w:rsid w:val="00876964"/>
    <w:rsid w:val="00882CC7"/>
    <w:rsid w:val="00883A34"/>
    <w:rsid w:val="00883B5C"/>
    <w:rsid w:val="00884D78"/>
    <w:rsid w:val="00885D5C"/>
    <w:rsid w:val="008879EE"/>
    <w:rsid w:val="00887A66"/>
    <w:rsid w:val="00895014"/>
    <w:rsid w:val="00895C3E"/>
    <w:rsid w:val="00895F81"/>
    <w:rsid w:val="0089763A"/>
    <w:rsid w:val="008A077D"/>
    <w:rsid w:val="008A2096"/>
    <w:rsid w:val="008B08FE"/>
    <w:rsid w:val="008B5179"/>
    <w:rsid w:val="008B643E"/>
    <w:rsid w:val="008B69A0"/>
    <w:rsid w:val="008C346A"/>
    <w:rsid w:val="008C4882"/>
    <w:rsid w:val="008C7EE3"/>
    <w:rsid w:val="008D16BC"/>
    <w:rsid w:val="008D3B90"/>
    <w:rsid w:val="008D659D"/>
    <w:rsid w:val="008D752D"/>
    <w:rsid w:val="008D7932"/>
    <w:rsid w:val="008E07C8"/>
    <w:rsid w:val="008E4607"/>
    <w:rsid w:val="008E4C94"/>
    <w:rsid w:val="008E58FE"/>
    <w:rsid w:val="008F5D79"/>
    <w:rsid w:val="00901C67"/>
    <w:rsid w:val="00912782"/>
    <w:rsid w:val="00913209"/>
    <w:rsid w:val="00914B36"/>
    <w:rsid w:val="0092036B"/>
    <w:rsid w:val="0092254A"/>
    <w:rsid w:val="00922E5C"/>
    <w:rsid w:val="00932EC5"/>
    <w:rsid w:val="0093715D"/>
    <w:rsid w:val="009376B6"/>
    <w:rsid w:val="009425BA"/>
    <w:rsid w:val="00943367"/>
    <w:rsid w:val="00946B9B"/>
    <w:rsid w:val="009502D0"/>
    <w:rsid w:val="009571DE"/>
    <w:rsid w:val="00957D90"/>
    <w:rsid w:val="009603FE"/>
    <w:rsid w:val="00964599"/>
    <w:rsid w:val="00964D3F"/>
    <w:rsid w:val="00965112"/>
    <w:rsid w:val="00965448"/>
    <w:rsid w:val="00965E63"/>
    <w:rsid w:val="0096633B"/>
    <w:rsid w:val="00966660"/>
    <w:rsid w:val="00966CE7"/>
    <w:rsid w:val="0097108A"/>
    <w:rsid w:val="00973007"/>
    <w:rsid w:val="00974C1F"/>
    <w:rsid w:val="0097601A"/>
    <w:rsid w:val="00986E6B"/>
    <w:rsid w:val="00987541"/>
    <w:rsid w:val="00987E74"/>
    <w:rsid w:val="00990402"/>
    <w:rsid w:val="009906DD"/>
    <w:rsid w:val="00991A63"/>
    <w:rsid w:val="00991DB2"/>
    <w:rsid w:val="00992750"/>
    <w:rsid w:val="00995769"/>
    <w:rsid w:val="00997145"/>
    <w:rsid w:val="00997FB4"/>
    <w:rsid w:val="009A6991"/>
    <w:rsid w:val="009A6C83"/>
    <w:rsid w:val="009A71ED"/>
    <w:rsid w:val="009A7EB0"/>
    <w:rsid w:val="009B1884"/>
    <w:rsid w:val="009B1AD4"/>
    <w:rsid w:val="009B3410"/>
    <w:rsid w:val="009C055C"/>
    <w:rsid w:val="009C2B39"/>
    <w:rsid w:val="009C4B63"/>
    <w:rsid w:val="009C6954"/>
    <w:rsid w:val="009D2D02"/>
    <w:rsid w:val="009D3DD3"/>
    <w:rsid w:val="009D49D6"/>
    <w:rsid w:val="009D536B"/>
    <w:rsid w:val="009D5457"/>
    <w:rsid w:val="009D60B3"/>
    <w:rsid w:val="009E0D1E"/>
    <w:rsid w:val="009E1593"/>
    <w:rsid w:val="009E3309"/>
    <w:rsid w:val="009E6D39"/>
    <w:rsid w:val="009F3195"/>
    <w:rsid w:val="009F4520"/>
    <w:rsid w:val="009F47D0"/>
    <w:rsid w:val="009F6C56"/>
    <w:rsid w:val="00A0098D"/>
    <w:rsid w:val="00A00E54"/>
    <w:rsid w:val="00A025AA"/>
    <w:rsid w:val="00A0369F"/>
    <w:rsid w:val="00A05657"/>
    <w:rsid w:val="00A0645A"/>
    <w:rsid w:val="00A0783B"/>
    <w:rsid w:val="00A109C8"/>
    <w:rsid w:val="00A10D80"/>
    <w:rsid w:val="00A145D2"/>
    <w:rsid w:val="00A15646"/>
    <w:rsid w:val="00A222BD"/>
    <w:rsid w:val="00A22465"/>
    <w:rsid w:val="00A25136"/>
    <w:rsid w:val="00A27648"/>
    <w:rsid w:val="00A306C6"/>
    <w:rsid w:val="00A403FB"/>
    <w:rsid w:val="00A40B5A"/>
    <w:rsid w:val="00A43A5F"/>
    <w:rsid w:val="00A4439F"/>
    <w:rsid w:val="00A46759"/>
    <w:rsid w:val="00A523FA"/>
    <w:rsid w:val="00A524BF"/>
    <w:rsid w:val="00A54F40"/>
    <w:rsid w:val="00A5603F"/>
    <w:rsid w:val="00A5607B"/>
    <w:rsid w:val="00A56740"/>
    <w:rsid w:val="00A61611"/>
    <w:rsid w:val="00A62436"/>
    <w:rsid w:val="00A62705"/>
    <w:rsid w:val="00A63B3B"/>
    <w:rsid w:val="00A660C7"/>
    <w:rsid w:val="00A6732F"/>
    <w:rsid w:val="00A67F0E"/>
    <w:rsid w:val="00A70933"/>
    <w:rsid w:val="00A73989"/>
    <w:rsid w:val="00A74679"/>
    <w:rsid w:val="00A7499A"/>
    <w:rsid w:val="00A77790"/>
    <w:rsid w:val="00A81EBB"/>
    <w:rsid w:val="00A85574"/>
    <w:rsid w:val="00A85BD5"/>
    <w:rsid w:val="00A937D9"/>
    <w:rsid w:val="00AA5128"/>
    <w:rsid w:val="00AA7436"/>
    <w:rsid w:val="00AB0CDF"/>
    <w:rsid w:val="00AB3339"/>
    <w:rsid w:val="00AB39C0"/>
    <w:rsid w:val="00AB492B"/>
    <w:rsid w:val="00AB7673"/>
    <w:rsid w:val="00AC0AE3"/>
    <w:rsid w:val="00AC2EE0"/>
    <w:rsid w:val="00AC32A5"/>
    <w:rsid w:val="00AC6152"/>
    <w:rsid w:val="00AC78CE"/>
    <w:rsid w:val="00AD1B2A"/>
    <w:rsid w:val="00AD4522"/>
    <w:rsid w:val="00AD5AA9"/>
    <w:rsid w:val="00AD6B86"/>
    <w:rsid w:val="00AD7F98"/>
    <w:rsid w:val="00AE00AB"/>
    <w:rsid w:val="00AE259A"/>
    <w:rsid w:val="00AE2823"/>
    <w:rsid w:val="00AF10E6"/>
    <w:rsid w:val="00AF3A56"/>
    <w:rsid w:val="00AF46F5"/>
    <w:rsid w:val="00AF4F1C"/>
    <w:rsid w:val="00AF68EA"/>
    <w:rsid w:val="00AF6E66"/>
    <w:rsid w:val="00B04DB7"/>
    <w:rsid w:val="00B05B1B"/>
    <w:rsid w:val="00B06687"/>
    <w:rsid w:val="00B10CD2"/>
    <w:rsid w:val="00B11373"/>
    <w:rsid w:val="00B15363"/>
    <w:rsid w:val="00B179D9"/>
    <w:rsid w:val="00B239E9"/>
    <w:rsid w:val="00B2551A"/>
    <w:rsid w:val="00B275C2"/>
    <w:rsid w:val="00B27827"/>
    <w:rsid w:val="00B311C4"/>
    <w:rsid w:val="00B31AA6"/>
    <w:rsid w:val="00B36355"/>
    <w:rsid w:val="00B37EE1"/>
    <w:rsid w:val="00B41A01"/>
    <w:rsid w:val="00B42F00"/>
    <w:rsid w:val="00B45451"/>
    <w:rsid w:val="00B47236"/>
    <w:rsid w:val="00B509D6"/>
    <w:rsid w:val="00B51425"/>
    <w:rsid w:val="00B51C92"/>
    <w:rsid w:val="00B54427"/>
    <w:rsid w:val="00B54F97"/>
    <w:rsid w:val="00B6493C"/>
    <w:rsid w:val="00B64EEE"/>
    <w:rsid w:val="00B74EE4"/>
    <w:rsid w:val="00B82373"/>
    <w:rsid w:val="00B83974"/>
    <w:rsid w:val="00B852FA"/>
    <w:rsid w:val="00B8535C"/>
    <w:rsid w:val="00B86807"/>
    <w:rsid w:val="00B86C73"/>
    <w:rsid w:val="00B87ACC"/>
    <w:rsid w:val="00B91B06"/>
    <w:rsid w:val="00B91B2B"/>
    <w:rsid w:val="00B94BB8"/>
    <w:rsid w:val="00B951D4"/>
    <w:rsid w:val="00B95976"/>
    <w:rsid w:val="00B96E4E"/>
    <w:rsid w:val="00BA1D27"/>
    <w:rsid w:val="00BA222F"/>
    <w:rsid w:val="00BA5A16"/>
    <w:rsid w:val="00BA64A4"/>
    <w:rsid w:val="00BB5F7E"/>
    <w:rsid w:val="00BB70FC"/>
    <w:rsid w:val="00BC0D23"/>
    <w:rsid w:val="00BC10ED"/>
    <w:rsid w:val="00BC1A2C"/>
    <w:rsid w:val="00BD333F"/>
    <w:rsid w:val="00BE396C"/>
    <w:rsid w:val="00BE47CA"/>
    <w:rsid w:val="00BF0764"/>
    <w:rsid w:val="00BF1650"/>
    <w:rsid w:val="00BF2513"/>
    <w:rsid w:val="00BF3286"/>
    <w:rsid w:val="00BF72EC"/>
    <w:rsid w:val="00BF799C"/>
    <w:rsid w:val="00C01BAE"/>
    <w:rsid w:val="00C02809"/>
    <w:rsid w:val="00C0667E"/>
    <w:rsid w:val="00C11AE1"/>
    <w:rsid w:val="00C1302D"/>
    <w:rsid w:val="00C216A7"/>
    <w:rsid w:val="00C31DBD"/>
    <w:rsid w:val="00C31E63"/>
    <w:rsid w:val="00C3625D"/>
    <w:rsid w:val="00C417E9"/>
    <w:rsid w:val="00C44117"/>
    <w:rsid w:val="00C56C0F"/>
    <w:rsid w:val="00C57CA7"/>
    <w:rsid w:val="00C67942"/>
    <w:rsid w:val="00C730EB"/>
    <w:rsid w:val="00C73226"/>
    <w:rsid w:val="00C739F1"/>
    <w:rsid w:val="00C73B26"/>
    <w:rsid w:val="00C76AC1"/>
    <w:rsid w:val="00C77AF0"/>
    <w:rsid w:val="00C81D7F"/>
    <w:rsid w:val="00C82F49"/>
    <w:rsid w:val="00C90736"/>
    <w:rsid w:val="00C91C31"/>
    <w:rsid w:val="00C92F6C"/>
    <w:rsid w:val="00C94633"/>
    <w:rsid w:val="00C94A7E"/>
    <w:rsid w:val="00C9571F"/>
    <w:rsid w:val="00C975EC"/>
    <w:rsid w:val="00CA3880"/>
    <w:rsid w:val="00CA3CBA"/>
    <w:rsid w:val="00CA3DFF"/>
    <w:rsid w:val="00CA48C8"/>
    <w:rsid w:val="00CA5A7B"/>
    <w:rsid w:val="00CA7222"/>
    <w:rsid w:val="00CB0612"/>
    <w:rsid w:val="00CB4E16"/>
    <w:rsid w:val="00CB4EBD"/>
    <w:rsid w:val="00CB50FC"/>
    <w:rsid w:val="00CC03EC"/>
    <w:rsid w:val="00CC1245"/>
    <w:rsid w:val="00CD2E24"/>
    <w:rsid w:val="00CD40A4"/>
    <w:rsid w:val="00CD48D8"/>
    <w:rsid w:val="00CD6B49"/>
    <w:rsid w:val="00CE3821"/>
    <w:rsid w:val="00CE6F4E"/>
    <w:rsid w:val="00CF0B37"/>
    <w:rsid w:val="00CF0DDE"/>
    <w:rsid w:val="00CF1691"/>
    <w:rsid w:val="00CF2682"/>
    <w:rsid w:val="00CF2926"/>
    <w:rsid w:val="00CF2A98"/>
    <w:rsid w:val="00CF4E57"/>
    <w:rsid w:val="00CF5746"/>
    <w:rsid w:val="00CF5FF7"/>
    <w:rsid w:val="00D01B0F"/>
    <w:rsid w:val="00D0277D"/>
    <w:rsid w:val="00D1658F"/>
    <w:rsid w:val="00D175F8"/>
    <w:rsid w:val="00D20B07"/>
    <w:rsid w:val="00D22549"/>
    <w:rsid w:val="00D264C3"/>
    <w:rsid w:val="00D26BE7"/>
    <w:rsid w:val="00D279A8"/>
    <w:rsid w:val="00D30444"/>
    <w:rsid w:val="00D3300E"/>
    <w:rsid w:val="00D350FC"/>
    <w:rsid w:val="00D36678"/>
    <w:rsid w:val="00D400A5"/>
    <w:rsid w:val="00D40E24"/>
    <w:rsid w:val="00D461E6"/>
    <w:rsid w:val="00D50C1C"/>
    <w:rsid w:val="00D5353B"/>
    <w:rsid w:val="00D541C9"/>
    <w:rsid w:val="00D56A22"/>
    <w:rsid w:val="00D66915"/>
    <w:rsid w:val="00D674B0"/>
    <w:rsid w:val="00D724AF"/>
    <w:rsid w:val="00D8049F"/>
    <w:rsid w:val="00D82AAC"/>
    <w:rsid w:val="00D82ED5"/>
    <w:rsid w:val="00D87521"/>
    <w:rsid w:val="00D92ACD"/>
    <w:rsid w:val="00D93B22"/>
    <w:rsid w:val="00D9471D"/>
    <w:rsid w:val="00DA1C02"/>
    <w:rsid w:val="00DA211F"/>
    <w:rsid w:val="00DA6366"/>
    <w:rsid w:val="00DA7BB4"/>
    <w:rsid w:val="00DB046A"/>
    <w:rsid w:val="00DB2310"/>
    <w:rsid w:val="00DB58E3"/>
    <w:rsid w:val="00DB5BA1"/>
    <w:rsid w:val="00DB72A5"/>
    <w:rsid w:val="00DC2861"/>
    <w:rsid w:val="00DC33FA"/>
    <w:rsid w:val="00DC3DD6"/>
    <w:rsid w:val="00DC71BB"/>
    <w:rsid w:val="00DD27B0"/>
    <w:rsid w:val="00DD3FD0"/>
    <w:rsid w:val="00DD7830"/>
    <w:rsid w:val="00DE6A2E"/>
    <w:rsid w:val="00DE7918"/>
    <w:rsid w:val="00DE7F3A"/>
    <w:rsid w:val="00DF0B75"/>
    <w:rsid w:val="00DF3C3E"/>
    <w:rsid w:val="00DF5369"/>
    <w:rsid w:val="00DF7441"/>
    <w:rsid w:val="00E02798"/>
    <w:rsid w:val="00E0427D"/>
    <w:rsid w:val="00E0559B"/>
    <w:rsid w:val="00E05D40"/>
    <w:rsid w:val="00E1093A"/>
    <w:rsid w:val="00E111C4"/>
    <w:rsid w:val="00E1431A"/>
    <w:rsid w:val="00E20C09"/>
    <w:rsid w:val="00E20FB1"/>
    <w:rsid w:val="00E31869"/>
    <w:rsid w:val="00E31B23"/>
    <w:rsid w:val="00E32239"/>
    <w:rsid w:val="00E32446"/>
    <w:rsid w:val="00E34DFF"/>
    <w:rsid w:val="00E3701F"/>
    <w:rsid w:val="00E417A7"/>
    <w:rsid w:val="00E41AE9"/>
    <w:rsid w:val="00E43104"/>
    <w:rsid w:val="00E43213"/>
    <w:rsid w:val="00E45648"/>
    <w:rsid w:val="00E50DE9"/>
    <w:rsid w:val="00E550CA"/>
    <w:rsid w:val="00E56208"/>
    <w:rsid w:val="00E573F2"/>
    <w:rsid w:val="00E60368"/>
    <w:rsid w:val="00E60404"/>
    <w:rsid w:val="00E62E7B"/>
    <w:rsid w:val="00E62F1A"/>
    <w:rsid w:val="00E65FBB"/>
    <w:rsid w:val="00E7216C"/>
    <w:rsid w:val="00E72366"/>
    <w:rsid w:val="00E74305"/>
    <w:rsid w:val="00E74E9B"/>
    <w:rsid w:val="00E75975"/>
    <w:rsid w:val="00E75F5F"/>
    <w:rsid w:val="00E772F6"/>
    <w:rsid w:val="00E81891"/>
    <w:rsid w:val="00E82329"/>
    <w:rsid w:val="00E82AF7"/>
    <w:rsid w:val="00E84BD8"/>
    <w:rsid w:val="00E87A8E"/>
    <w:rsid w:val="00E87BD7"/>
    <w:rsid w:val="00E93DDA"/>
    <w:rsid w:val="00E95E79"/>
    <w:rsid w:val="00E96201"/>
    <w:rsid w:val="00E972BF"/>
    <w:rsid w:val="00EA7B7C"/>
    <w:rsid w:val="00EB102A"/>
    <w:rsid w:val="00EB263A"/>
    <w:rsid w:val="00EB4F52"/>
    <w:rsid w:val="00EC4DFF"/>
    <w:rsid w:val="00EC4F9B"/>
    <w:rsid w:val="00EC51B7"/>
    <w:rsid w:val="00EC520D"/>
    <w:rsid w:val="00EC58D7"/>
    <w:rsid w:val="00EC5D25"/>
    <w:rsid w:val="00EC674B"/>
    <w:rsid w:val="00EC6C2B"/>
    <w:rsid w:val="00ED12C7"/>
    <w:rsid w:val="00ED20DF"/>
    <w:rsid w:val="00ED3053"/>
    <w:rsid w:val="00EE0A41"/>
    <w:rsid w:val="00EE2954"/>
    <w:rsid w:val="00EE3FED"/>
    <w:rsid w:val="00EE4DEE"/>
    <w:rsid w:val="00EF081E"/>
    <w:rsid w:val="00EF2BD2"/>
    <w:rsid w:val="00EF3BFD"/>
    <w:rsid w:val="00EF4CF3"/>
    <w:rsid w:val="00EF66A0"/>
    <w:rsid w:val="00F02EFA"/>
    <w:rsid w:val="00F0406B"/>
    <w:rsid w:val="00F05CCA"/>
    <w:rsid w:val="00F13E8F"/>
    <w:rsid w:val="00F2087E"/>
    <w:rsid w:val="00F227D2"/>
    <w:rsid w:val="00F23CA7"/>
    <w:rsid w:val="00F24E72"/>
    <w:rsid w:val="00F26983"/>
    <w:rsid w:val="00F27D56"/>
    <w:rsid w:val="00F31A44"/>
    <w:rsid w:val="00F32F53"/>
    <w:rsid w:val="00F35E4A"/>
    <w:rsid w:val="00F36A21"/>
    <w:rsid w:val="00F3712D"/>
    <w:rsid w:val="00F37846"/>
    <w:rsid w:val="00F37C33"/>
    <w:rsid w:val="00F4036A"/>
    <w:rsid w:val="00F42B8D"/>
    <w:rsid w:val="00F42D72"/>
    <w:rsid w:val="00F440B1"/>
    <w:rsid w:val="00F44D42"/>
    <w:rsid w:val="00F456AD"/>
    <w:rsid w:val="00F53E58"/>
    <w:rsid w:val="00F55E8A"/>
    <w:rsid w:val="00F56A33"/>
    <w:rsid w:val="00F5705E"/>
    <w:rsid w:val="00F57DF3"/>
    <w:rsid w:val="00F618F3"/>
    <w:rsid w:val="00F63B88"/>
    <w:rsid w:val="00F65162"/>
    <w:rsid w:val="00F66D87"/>
    <w:rsid w:val="00F67937"/>
    <w:rsid w:val="00F74414"/>
    <w:rsid w:val="00F8080E"/>
    <w:rsid w:val="00F8105A"/>
    <w:rsid w:val="00F94E87"/>
    <w:rsid w:val="00F9662A"/>
    <w:rsid w:val="00FA4958"/>
    <w:rsid w:val="00FA6A0A"/>
    <w:rsid w:val="00FB1067"/>
    <w:rsid w:val="00FB49A5"/>
    <w:rsid w:val="00FB60DF"/>
    <w:rsid w:val="00FC14C4"/>
    <w:rsid w:val="00FC1A48"/>
    <w:rsid w:val="00FC3C83"/>
    <w:rsid w:val="00FC4685"/>
    <w:rsid w:val="00FC5999"/>
    <w:rsid w:val="00FC5C91"/>
    <w:rsid w:val="00FC5D66"/>
    <w:rsid w:val="00FC70A0"/>
    <w:rsid w:val="00FC7577"/>
    <w:rsid w:val="00FD0E48"/>
    <w:rsid w:val="00FD1433"/>
    <w:rsid w:val="00FD25DF"/>
    <w:rsid w:val="00FD44F3"/>
    <w:rsid w:val="00FE0D65"/>
    <w:rsid w:val="00FE42AA"/>
    <w:rsid w:val="00FE649D"/>
    <w:rsid w:val="00FE6E48"/>
    <w:rsid w:val="00FF1B96"/>
    <w:rsid w:val="00FF76A2"/>
    <w:rsid w:val="00FF7DAD"/>
    <w:rsid w:val="00FF7E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D4BE131-4EB1-4E42-9E06-821D121B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tabs>
        <w:tab w:val="left" w:pos="9356"/>
      </w:tabs>
      <w:ind w:right="72"/>
      <w:outlineLvl w:val="0"/>
    </w:pPr>
    <w:rPr>
      <w:rFonts w:ascii="GoudyOldStyT" w:hAnsi="GoudyOldStyT"/>
      <w:sz w:val="24"/>
    </w:rPr>
  </w:style>
  <w:style w:type="paragraph" w:styleId="Titolo2">
    <w:name w:val="heading 2"/>
    <w:basedOn w:val="Normale"/>
    <w:next w:val="Normale"/>
    <w:qFormat/>
    <w:pPr>
      <w:keepNext/>
      <w:tabs>
        <w:tab w:val="left" w:pos="9356"/>
      </w:tabs>
      <w:ind w:right="49"/>
      <w:outlineLvl w:val="1"/>
    </w:pPr>
    <w:rPr>
      <w:rFonts w:ascii="GoudyOldStyT" w:hAnsi="GoudyOldStyT"/>
      <w:sz w:val="24"/>
    </w:rPr>
  </w:style>
  <w:style w:type="paragraph" w:styleId="Titolo3">
    <w:name w:val="heading 3"/>
    <w:basedOn w:val="Normale"/>
    <w:next w:val="Normale"/>
    <w:qFormat/>
    <w:pPr>
      <w:keepNext/>
      <w:tabs>
        <w:tab w:val="left" w:pos="9356"/>
      </w:tabs>
      <w:ind w:right="72"/>
      <w:outlineLvl w:val="2"/>
    </w:pPr>
    <w:rPr>
      <w:rFonts w:ascii="GoudyOldStyT" w:hAnsi="GoudyOldStyT"/>
      <w:b/>
      <w:sz w:val="24"/>
    </w:rPr>
  </w:style>
  <w:style w:type="paragraph" w:styleId="Titolo4">
    <w:name w:val="heading 4"/>
    <w:basedOn w:val="Normale"/>
    <w:next w:val="Normale"/>
    <w:qFormat/>
    <w:pPr>
      <w:keepNext/>
      <w:ind w:right="238"/>
      <w:outlineLvl w:val="3"/>
    </w:pPr>
    <w:rPr>
      <w:rFonts w:ascii="GoudyOldStyT" w:hAnsi="GoudyOldStyT"/>
      <w:sz w:val="24"/>
    </w:rPr>
  </w:style>
  <w:style w:type="paragraph" w:styleId="Titolo5">
    <w:name w:val="heading 5"/>
    <w:basedOn w:val="Normale"/>
    <w:next w:val="Normale"/>
    <w:qFormat/>
    <w:pPr>
      <w:keepNext/>
      <w:tabs>
        <w:tab w:val="left" w:pos="9356"/>
      </w:tabs>
      <w:ind w:right="76"/>
      <w:outlineLvl w:val="4"/>
    </w:pPr>
    <w:rPr>
      <w:rFonts w:ascii="GoudyOlSt BT" w:hAnsi="GoudyOlSt BT"/>
    </w:rPr>
  </w:style>
  <w:style w:type="paragraph" w:styleId="Titolo6">
    <w:name w:val="heading 6"/>
    <w:basedOn w:val="Normale"/>
    <w:next w:val="Normale"/>
    <w:qFormat/>
    <w:pPr>
      <w:keepNext/>
      <w:tabs>
        <w:tab w:val="left" w:pos="9356"/>
      </w:tabs>
      <w:ind w:right="900"/>
      <w:outlineLvl w:val="5"/>
    </w:pPr>
    <w:rPr>
      <w:rFonts w:ascii="GoudyOlSt BT" w:hAnsi="GoudyOlSt BT"/>
      <w:sz w:val="24"/>
    </w:rPr>
  </w:style>
  <w:style w:type="paragraph" w:styleId="Titolo7">
    <w:name w:val="heading 7"/>
    <w:basedOn w:val="Normale"/>
    <w:next w:val="Normale"/>
    <w:qFormat/>
    <w:pPr>
      <w:keepNext/>
      <w:ind w:right="214"/>
      <w:outlineLvl w:val="6"/>
    </w:pPr>
    <w:rPr>
      <w:rFonts w:ascii="URWBodoniTLigNar" w:hAnsi="URWBodoniTLigNar"/>
      <w:sz w:val="24"/>
    </w:rPr>
  </w:style>
  <w:style w:type="paragraph" w:styleId="Titolo8">
    <w:name w:val="heading 8"/>
    <w:basedOn w:val="Normale"/>
    <w:next w:val="Normale"/>
    <w:qFormat/>
    <w:pPr>
      <w:keepNext/>
      <w:ind w:right="900"/>
      <w:outlineLvl w:val="7"/>
    </w:pPr>
    <w:rPr>
      <w:rFonts w:ascii="GoudyOldStyT" w:hAnsi="GoudyOldStyT"/>
      <w:b/>
      <w:sz w:val="24"/>
    </w:rPr>
  </w:style>
  <w:style w:type="paragraph" w:styleId="Titolo9">
    <w:name w:val="heading 9"/>
    <w:basedOn w:val="Normale"/>
    <w:next w:val="Normale"/>
    <w:qFormat/>
    <w:pPr>
      <w:keepNext/>
      <w:tabs>
        <w:tab w:val="left" w:pos="9356"/>
      </w:tabs>
      <w:ind w:left="567" w:right="900" w:firstLine="284"/>
      <w:outlineLvl w:val="8"/>
    </w:pPr>
    <w:rPr>
      <w:rFonts w:ascii="GoudyOldStyT" w:hAnsi="GoudyOldStyT"/>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tabs>
        <w:tab w:val="left" w:pos="9356"/>
      </w:tabs>
      <w:ind w:right="900" w:firstLine="567"/>
    </w:pPr>
    <w:rPr>
      <w:rFonts w:ascii="GoudyOlSt BT" w:hAnsi="GoudyOlSt BT"/>
      <w:sz w:val="24"/>
    </w:rPr>
  </w:style>
  <w:style w:type="paragraph" w:styleId="Testodelblocco">
    <w:name w:val="Block Text"/>
    <w:basedOn w:val="Normale"/>
    <w:pPr>
      <w:spacing w:line="192" w:lineRule="exact"/>
      <w:ind w:left="851" w:right="49"/>
    </w:pPr>
    <w:rPr>
      <w:rFonts w:ascii="GoudyOlSt BT" w:hAnsi="GoudyOlSt BT"/>
      <w:snapToGrid w:val="0"/>
      <w:color w:val="000000"/>
      <w:spacing w:val="5"/>
      <w:sz w:val="28"/>
    </w:rPr>
  </w:style>
  <w:style w:type="paragraph" w:styleId="Rientrocorpodeltesto2">
    <w:name w:val="Body Text Indent 2"/>
    <w:basedOn w:val="Normale"/>
    <w:pPr>
      <w:tabs>
        <w:tab w:val="left" w:pos="9356"/>
      </w:tabs>
      <w:ind w:right="-284" w:firstLine="567"/>
    </w:pPr>
    <w:rPr>
      <w:rFonts w:ascii="Book Antiqua" w:hAnsi="Book Antiqua"/>
      <w:sz w:val="28"/>
    </w:rPr>
  </w:style>
  <w:style w:type="paragraph" w:styleId="Rientrocorpodeltesto3">
    <w:name w:val="Body Text Indent 3"/>
    <w:basedOn w:val="Normale"/>
    <w:pPr>
      <w:tabs>
        <w:tab w:val="left" w:pos="9356"/>
      </w:tabs>
      <w:ind w:right="-284" w:firstLine="567"/>
    </w:pPr>
    <w:rPr>
      <w:rFonts w:ascii="Book Antiqua" w:hAnsi="Book Antiqua"/>
      <w:i/>
      <w:iCs/>
      <w:sz w:val="24"/>
    </w:rPr>
  </w:style>
  <w:style w:type="character" w:styleId="Collegamentoipertestuale">
    <w:name w:val="Hyperlink"/>
    <w:rPr>
      <w:color w:val="0000FF"/>
      <w:u w:val="single"/>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NormaleWeb">
    <w:name w:val="Normal (Web)"/>
    <w:basedOn w:val="Normale"/>
    <w:rsid w:val="0006706F"/>
    <w:pPr>
      <w:spacing w:before="100" w:beforeAutospacing="1" w:after="100" w:afterAutospacing="1"/>
    </w:pPr>
    <w:rPr>
      <w:rFonts w:ascii="Times New Roman" w:hAnsi="Times New Roman"/>
      <w:sz w:val="24"/>
      <w:szCs w:val="24"/>
    </w:rPr>
  </w:style>
  <w:style w:type="paragraph" w:styleId="Testofumetto">
    <w:name w:val="Balloon Text"/>
    <w:basedOn w:val="Normale"/>
    <w:link w:val="TestofumettoCarattere"/>
    <w:rsid w:val="009B3410"/>
    <w:rPr>
      <w:rFonts w:ascii="Tahoma" w:hAnsi="Tahoma" w:cs="Tahoma"/>
      <w:sz w:val="16"/>
      <w:szCs w:val="16"/>
    </w:rPr>
  </w:style>
  <w:style w:type="character" w:customStyle="1" w:styleId="TestofumettoCarattere">
    <w:name w:val="Testo fumetto Carattere"/>
    <w:link w:val="Testofumetto"/>
    <w:rsid w:val="009B3410"/>
    <w:rPr>
      <w:rFonts w:ascii="Tahoma" w:hAnsi="Tahoma" w:cs="Tahoma"/>
      <w:sz w:val="16"/>
      <w:szCs w:val="16"/>
    </w:rPr>
  </w:style>
  <w:style w:type="character" w:styleId="Rimandocommento">
    <w:name w:val="annotation reference"/>
    <w:rsid w:val="00987E74"/>
    <w:rPr>
      <w:sz w:val="16"/>
      <w:szCs w:val="16"/>
    </w:rPr>
  </w:style>
  <w:style w:type="paragraph" w:styleId="Testocommento">
    <w:name w:val="annotation text"/>
    <w:basedOn w:val="Normale"/>
    <w:link w:val="TestocommentoCarattere"/>
    <w:rsid w:val="00987E74"/>
  </w:style>
  <w:style w:type="character" w:customStyle="1" w:styleId="TestocommentoCarattere">
    <w:name w:val="Testo commento Carattere"/>
    <w:basedOn w:val="Carpredefinitoparagrafo"/>
    <w:link w:val="Testocommento"/>
    <w:rsid w:val="00987E74"/>
  </w:style>
  <w:style w:type="paragraph" w:styleId="Soggettocommento">
    <w:name w:val="annotation subject"/>
    <w:basedOn w:val="Testocommento"/>
    <w:next w:val="Testocommento"/>
    <w:link w:val="SoggettocommentoCarattere"/>
    <w:rsid w:val="00987E74"/>
    <w:rPr>
      <w:b/>
      <w:bCs/>
    </w:rPr>
  </w:style>
  <w:style w:type="character" w:customStyle="1" w:styleId="SoggettocommentoCarattere">
    <w:name w:val="Soggetto commento Carattere"/>
    <w:link w:val="Soggettocommento"/>
    <w:rsid w:val="00987E74"/>
    <w:rPr>
      <w:b/>
      <w:bCs/>
    </w:rPr>
  </w:style>
  <w:style w:type="paragraph" w:styleId="Paragrafoelenco">
    <w:name w:val="List Paragraph"/>
    <w:basedOn w:val="Normale"/>
    <w:uiPriority w:val="34"/>
    <w:qFormat/>
    <w:rsid w:val="00AA7436"/>
    <w:pPr>
      <w:ind w:left="720"/>
      <w:contextualSpacing/>
    </w:pPr>
    <w:rPr>
      <w:rFonts w:ascii="Cambria" w:eastAsia="MS Mincho" w:hAnsi="Cambria"/>
      <w:sz w:val="24"/>
      <w:szCs w:val="24"/>
    </w:rPr>
  </w:style>
  <w:style w:type="paragraph" w:styleId="Corpodeltesto2">
    <w:name w:val="Body Text 2"/>
    <w:basedOn w:val="Normale"/>
    <w:link w:val="Corpodeltesto2Carattere"/>
    <w:rsid w:val="00E972BF"/>
    <w:pPr>
      <w:spacing w:after="120" w:line="480" w:lineRule="auto"/>
    </w:pPr>
  </w:style>
  <w:style w:type="character" w:customStyle="1" w:styleId="Corpodeltesto2Carattere">
    <w:name w:val="Corpo del testo 2 Carattere"/>
    <w:basedOn w:val="Carpredefinitoparagrafo"/>
    <w:link w:val="Corpodeltesto2"/>
    <w:rsid w:val="00E972BF"/>
  </w:style>
  <w:style w:type="paragraph" w:styleId="Corpodeltesto3">
    <w:name w:val="Body Text 3"/>
    <w:basedOn w:val="Normale"/>
    <w:link w:val="Corpodeltesto3Carattere"/>
    <w:rsid w:val="00E972BF"/>
    <w:pPr>
      <w:spacing w:after="120"/>
    </w:pPr>
    <w:rPr>
      <w:sz w:val="16"/>
      <w:szCs w:val="16"/>
    </w:rPr>
  </w:style>
  <w:style w:type="character" w:customStyle="1" w:styleId="Corpodeltesto3Carattere">
    <w:name w:val="Corpo del testo 3 Carattere"/>
    <w:link w:val="Corpodeltesto3"/>
    <w:rsid w:val="00E972BF"/>
    <w:rPr>
      <w:sz w:val="16"/>
      <w:szCs w:val="16"/>
    </w:rPr>
  </w:style>
  <w:style w:type="paragraph" w:styleId="Corpotesto">
    <w:name w:val="Body Text"/>
    <w:aliases w:val="Ctrl+1,bt,Body,by,BT"/>
    <w:basedOn w:val="Normale"/>
    <w:link w:val="CorpotestoCarattere"/>
    <w:rsid w:val="00E972BF"/>
    <w:rPr>
      <w:rFonts w:ascii="Arial" w:hAnsi="Arial" w:cs="Arial"/>
      <w:sz w:val="22"/>
    </w:rPr>
  </w:style>
  <w:style w:type="character" w:customStyle="1" w:styleId="CorpotestoCarattere">
    <w:name w:val="Corpo testo Carattere"/>
    <w:aliases w:val="Ctrl+1 Carattere,bt Carattere,Body Carattere,by Carattere,BT Carattere"/>
    <w:link w:val="Corpotesto"/>
    <w:rsid w:val="00E972BF"/>
    <w:rPr>
      <w:rFonts w:ascii="Arial" w:hAnsi="Arial" w:cs="Arial"/>
      <w:sz w:val="22"/>
    </w:rPr>
  </w:style>
  <w:style w:type="paragraph" w:customStyle="1" w:styleId="ssPara1">
    <w:name w:val="ssPara1"/>
    <w:basedOn w:val="Normale"/>
    <w:rsid w:val="00E972BF"/>
    <w:pPr>
      <w:spacing w:after="220"/>
      <w:jc w:val="both"/>
    </w:pPr>
    <w:rPr>
      <w:rFonts w:ascii="Arial" w:hAnsi="Arial"/>
      <w:sz w:val="22"/>
    </w:rPr>
  </w:style>
  <w:style w:type="paragraph" w:customStyle="1" w:styleId="tabellatitolo">
    <w:name w:val="tabellatitolo"/>
    <w:basedOn w:val="Normale"/>
    <w:rsid w:val="00E972BF"/>
    <w:pPr>
      <w:keepNext/>
      <w:autoSpaceDE w:val="0"/>
      <w:autoSpaceDN w:val="0"/>
      <w:adjustRightInd w:val="0"/>
      <w:jc w:val="center"/>
    </w:pPr>
    <w:rPr>
      <w:rFonts w:ascii="Arial" w:hAnsi="Arial"/>
      <w:b/>
      <w:sz w:val="18"/>
    </w:rPr>
  </w:style>
  <w:style w:type="character" w:styleId="Numeropagina">
    <w:name w:val="page number"/>
    <w:rsid w:val="00E972BF"/>
  </w:style>
  <w:style w:type="paragraph" w:styleId="Mappadocumento">
    <w:name w:val="Document Map"/>
    <w:basedOn w:val="Normale"/>
    <w:link w:val="MappadocumentoCarattere"/>
    <w:rsid w:val="00E972BF"/>
    <w:pPr>
      <w:shd w:val="clear" w:color="auto" w:fill="000080"/>
    </w:pPr>
    <w:rPr>
      <w:rFonts w:ascii="Tahoma" w:hAnsi="Tahoma" w:cs="Tahoma"/>
    </w:rPr>
  </w:style>
  <w:style w:type="character" w:customStyle="1" w:styleId="MappadocumentoCarattere">
    <w:name w:val="Mappa documento Carattere"/>
    <w:link w:val="Mappadocumento"/>
    <w:rsid w:val="00E972BF"/>
    <w:rPr>
      <w:rFonts w:ascii="Tahoma" w:hAnsi="Tahoma" w:cs="Tahoma"/>
      <w:shd w:val="clear" w:color="auto" w:fill="000080"/>
    </w:rPr>
  </w:style>
  <w:style w:type="character" w:customStyle="1" w:styleId="PidipaginaCarattere">
    <w:name w:val="Piè di pagina Carattere"/>
    <w:link w:val="Pidipagina"/>
    <w:uiPriority w:val="99"/>
    <w:rsid w:val="00E972BF"/>
  </w:style>
  <w:style w:type="character" w:customStyle="1" w:styleId="IntestazioneCarattere">
    <w:name w:val="Intestazione Carattere"/>
    <w:link w:val="Intestazione"/>
    <w:rsid w:val="00E972BF"/>
  </w:style>
  <w:style w:type="paragraph" w:styleId="Nessunaspaziatura">
    <w:name w:val="No Spacing"/>
    <w:link w:val="NessunaspaziaturaCarattere"/>
    <w:uiPriority w:val="1"/>
    <w:qFormat/>
    <w:rsid w:val="00E62E7B"/>
    <w:rPr>
      <w:rFonts w:ascii="Calibri" w:hAnsi="Calibri"/>
      <w:sz w:val="22"/>
      <w:szCs w:val="22"/>
    </w:rPr>
  </w:style>
  <w:style w:type="character" w:customStyle="1" w:styleId="NessunaspaziaturaCarattere">
    <w:name w:val="Nessuna spaziatura Carattere"/>
    <w:link w:val="Nessunaspaziatura"/>
    <w:uiPriority w:val="1"/>
    <w:rsid w:val="00E62E7B"/>
    <w:rPr>
      <w:rFonts w:ascii="Calibri" w:hAnsi="Calibri"/>
      <w:sz w:val="22"/>
      <w:szCs w:val="22"/>
    </w:rPr>
  </w:style>
  <w:style w:type="table" w:styleId="Tabellacontemporanea">
    <w:name w:val="Table Contemporary"/>
    <w:basedOn w:val="Tabellanormale"/>
    <w:rsid w:val="00A67F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Stile1">
    <w:name w:val="Stile1"/>
    <w:basedOn w:val="Tabellanormale"/>
    <w:rsid w:val="00D400A5"/>
    <w:rPr>
      <w:rFonts w:ascii="Calibri" w:hAnsi="Calibri"/>
    </w:rPr>
    <w:tblPr>
      <w:tblBorders>
        <w:top w:val="single" w:sz="4" w:space="0" w:color="222A35"/>
        <w:bottom w:val="single" w:sz="4" w:space="0" w:color="222A35"/>
        <w:insideH w:val="single" w:sz="4" w:space="0" w:color="222A35"/>
      </w:tblBorders>
    </w:tblPr>
  </w:style>
  <w:style w:type="character" w:styleId="Enfasicorsivo">
    <w:name w:val="Emphasis"/>
    <w:qFormat/>
    <w:rsid w:val="0016438C"/>
    <w:rPr>
      <w:i/>
      <w:iCs/>
    </w:rPr>
  </w:style>
  <w:style w:type="character" w:styleId="Enfasigrassetto">
    <w:name w:val="Strong"/>
    <w:basedOn w:val="Carpredefinitoparagrafo"/>
    <w:uiPriority w:val="22"/>
    <w:qFormat/>
    <w:rsid w:val="009B1884"/>
    <w:rPr>
      <w:b/>
      <w:bCs/>
    </w:rPr>
  </w:style>
  <w:style w:type="paragraph" w:customStyle="1" w:styleId="Default">
    <w:name w:val="Default"/>
    <w:rsid w:val="007C16AC"/>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2807">
      <w:bodyDiv w:val="1"/>
      <w:marLeft w:val="0"/>
      <w:marRight w:val="0"/>
      <w:marTop w:val="0"/>
      <w:marBottom w:val="0"/>
      <w:divBdr>
        <w:top w:val="none" w:sz="0" w:space="0" w:color="auto"/>
        <w:left w:val="none" w:sz="0" w:space="0" w:color="auto"/>
        <w:bottom w:val="none" w:sz="0" w:space="0" w:color="auto"/>
        <w:right w:val="none" w:sz="0" w:space="0" w:color="auto"/>
      </w:divBdr>
      <w:divsChild>
        <w:div w:id="844366875">
          <w:marLeft w:val="0"/>
          <w:marRight w:val="0"/>
          <w:marTop w:val="0"/>
          <w:marBottom w:val="0"/>
          <w:divBdr>
            <w:top w:val="none" w:sz="0" w:space="0" w:color="auto"/>
            <w:left w:val="none" w:sz="0" w:space="0" w:color="auto"/>
            <w:bottom w:val="none" w:sz="0" w:space="0" w:color="auto"/>
            <w:right w:val="none" w:sz="0" w:space="0" w:color="auto"/>
          </w:divBdr>
          <w:divsChild>
            <w:div w:id="1617567931">
              <w:marLeft w:val="0"/>
              <w:marRight w:val="0"/>
              <w:marTop w:val="0"/>
              <w:marBottom w:val="0"/>
              <w:divBdr>
                <w:top w:val="none" w:sz="0" w:space="0" w:color="auto"/>
                <w:left w:val="none" w:sz="0" w:space="0" w:color="auto"/>
                <w:bottom w:val="none" w:sz="0" w:space="0" w:color="auto"/>
                <w:right w:val="none" w:sz="0" w:space="0" w:color="auto"/>
              </w:divBdr>
              <w:divsChild>
                <w:div w:id="776174233">
                  <w:marLeft w:val="0"/>
                  <w:marRight w:val="0"/>
                  <w:marTop w:val="0"/>
                  <w:marBottom w:val="0"/>
                  <w:divBdr>
                    <w:top w:val="none" w:sz="0" w:space="0" w:color="auto"/>
                    <w:left w:val="none" w:sz="0" w:space="0" w:color="auto"/>
                    <w:bottom w:val="none" w:sz="0" w:space="0" w:color="auto"/>
                    <w:right w:val="none" w:sz="0" w:space="0" w:color="auto"/>
                  </w:divBdr>
                  <w:divsChild>
                    <w:div w:id="1435319692">
                      <w:marLeft w:val="0"/>
                      <w:marRight w:val="0"/>
                      <w:marTop w:val="0"/>
                      <w:marBottom w:val="0"/>
                      <w:divBdr>
                        <w:top w:val="none" w:sz="0" w:space="0" w:color="auto"/>
                        <w:left w:val="none" w:sz="0" w:space="0" w:color="auto"/>
                        <w:bottom w:val="none" w:sz="0" w:space="0" w:color="auto"/>
                        <w:right w:val="none" w:sz="0" w:space="0" w:color="auto"/>
                      </w:divBdr>
                      <w:divsChild>
                        <w:div w:id="11549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21435">
      <w:bodyDiv w:val="1"/>
      <w:marLeft w:val="0"/>
      <w:marRight w:val="0"/>
      <w:marTop w:val="0"/>
      <w:marBottom w:val="0"/>
      <w:divBdr>
        <w:top w:val="none" w:sz="0" w:space="0" w:color="auto"/>
        <w:left w:val="none" w:sz="0" w:space="0" w:color="auto"/>
        <w:bottom w:val="none" w:sz="0" w:space="0" w:color="auto"/>
        <w:right w:val="none" w:sz="0" w:space="0" w:color="auto"/>
      </w:divBdr>
    </w:div>
    <w:div w:id="820971631">
      <w:bodyDiv w:val="1"/>
      <w:marLeft w:val="0"/>
      <w:marRight w:val="0"/>
      <w:marTop w:val="0"/>
      <w:marBottom w:val="0"/>
      <w:divBdr>
        <w:top w:val="none" w:sz="0" w:space="0" w:color="auto"/>
        <w:left w:val="none" w:sz="0" w:space="0" w:color="auto"/>
        <w:bottom w:val="none" w:sz="0" w:space="0" w:color="auto"/>
        <w:right w:val="none" w:sz="0" w:space="0" w:color="auto"/>
      </w:divBdr>
    </w:div>
    <w:div w:id="1001810025">
      <w:bodyDiv w:val="1"/>
      <w:marLeft w:val="0"/>
      <w:marRight w:val="0"/>
      <w:marTop w:val="0"/>
      <w:marBottom w:val="0"/>
      <w:divBdr>
        <w:top w:val="none" w:sz="0" w:space="0" w:color="auto"/>
        <w:left w:val="none" w:sz="0" w:space="0" w:color="auto"/>
        <w:bottom w:val="none" w:sz="0" w:space="0" w:color="auto"/>
        <w:right w:val="none" w:sz="0" w:space="0" w:color="auto"/>
      </w:divBdr>
    </w:div>
    <w:div w:id="1193375369">
      <w:bodyDiv w:val="1"/>
      <w:marLeft w:val="0"/>
      <w:marRight w:val="0"/>
      <w:marTop w:val="0"/>
      <w:marBottom w:val="0"/>
      <w:divBdr>
        <w:top w:val="none" w:sz="0" w:space="0" w:color="auto"/>
        <w:left w:val="none" w:sz="0" w:space="0" w:color="auto"/>
        <w:bottom w:val="none" w:sz="0" w:space="0" w:color="auto"/>
        <w:right w:val="none" w:sz="0" w:space="0" w:color="auto"/>
      </w:divBdr>
    </w:div>
    <w:div w:id="1531868652">
      <w:bodyDiv w:val="1"/>
      <w:marLeft w:val="0"/>
      <w:marRight w:val="0"/>
      <w:marTop w:val="0"/>
      <w:marBottom w:val="0"/>
      <w:divBdr>
        <w:top w:val="none" w:sz="0" w:space="0" w:color="auto"/>
        <w:left w:val="none" w:sz="0" w:space="0" w:color="auto"/>
        <w:bottom w:val="none" w:sz="0" w:space="0" w:color="auto"/>
        <w:right w:val="none" w:sz="0" w:space="0" w:color="auto"/>
      </w:divBdr>
    </w:div>
    <w:div w:id="1671442785">
      <w:bodyDiv w:val="1"/>
      <w:marLeft w:val="0"/>
      <w:marRight w:val="0"/>
      <w:marTop w:val="0"/>
      <w:marBottom w:val="0"/>
      <w:divBdr>
        <w:top w:val="none" w:sz="0" w:space="0" w:color="auto"/>
        <w:left w:val="none" w:sz="0" w:space="0" w:color="auto"/>
        <w:bottom w:val="none" w:sz="0" w:space="0" w:color="auto"/>
        <w:right w:val="none" w:sz="0" w:space="0" w:color="auto"/>
      </w:divBdr>
    </w:div>
    <w:div w:id="20511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nariagroup.it"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www.1info.it" TargetMode="External"/><Relationship Id="rId17" Type="http://schemas.openxmlformats.org/officeDocument/2006/relationships/hyperlink" Target="https://www.linkedin.com/company/panariagrou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panariagroup"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riagroup.i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anariagroup.it" TargetMode="External"/><Relationship Id="rId23" Type="http://schemas.openxmlformats.org/officeDocument/2006/relationships/footer" Target="footer1.xml"/><Relationship Id="rId10" Type="http://schemas.openxmlformats.org/officeDocument/2006/relationships/hyperlink" Target="http://www.1info.it"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panariagroup.it" TargetMode="External"/><Relationship Id="rId14" Type="http://schemas.openxmlformats.org/officeDocument/2006/relationships/hyperlink" Target="http://www.1info.i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3A851-7055-44BF-BAFA-8235BA63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3044</Words>
  <Characters>18891</Characters>
  <Application>Microsoft Office Word</Application>
  <DocSecurity>0</DocSecurity>
  <Lines>157</Lines>
  <Paragraphs>43</Paragraphs>
  <ScaleCrop>false</ScaleCrop>
  <HeadingPairs>
    <vt:vector size="2" baseType="variant">
      <vt:variant>
        <vt:lpstr>Titolo</vt:lpstr>
      </vt:variant>
      <vt:variant>
        <vt:i4>1</vt:i4>
      </vt:variant>
    </vt:vector>
  </HeadingPairs>
  <TitlesOfParts>
    <vt:vector size="1" baseType="lpstr">
      <vt:lpstr>RESOCONTO INTERMEDIO DI GESTIONE AL 30 SETTEMBRE 2017</vt:lpstr>
    </vt:vector>
  </TitlesOfParts>
  <Company>Panariagroup Industrie Ceramiche Spa</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RESOCONTO INTERMEDIO DI GESTIONE AL 30 SETTEMBRE 2017</dc:title>
  <dc:subject/>
  <dc:creator>Sighinolfi Stefania</dc:creator>
  <cp:keywords/>
  <dc:description/>
  <cp:lastModifiedBy>Martelli Renato</cp:lastModifiedBy>
  <cp:revision>2</cp:revision>
  <cp:lastPrinted>2020-03-13T15:43:00Z</cp:lastPrinted>
  <dcterms:created xsi:type="dcterms:W3CDTF">2020-03-13T18:16:00Z</dcterms:created>
  <dcterms:modified xsi:type="dcterms:W3CDTF">2020-03-13T18:16:00Z</dcterms:modified>
</cp:coreProperties>
</file>